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C1" w:rsidRDefault="007508C1">
      <w:pPr>
        <w:rPr>
          <w:b/>
          <w:sz w:val="28"/>
        </w:rPr>
      </w:pPr>
      <w:bookmarkStart w:id="0" w:name="_GoBack"/>
      <w:bookmarkEnd w:id="0"/>
    </w:p>
    <w:p w:rsidR="00804A4D" w:rsidRDefault="00804A4D">
      <w:pPr>
        <w:rPr>
          <w:b/>
          <w:sz w:val="28"/>
        </w:rPr>
      </w:pPr>
    </w:p>
    <w:p w:rsidR="00804A4D" w:rsidRDefault="00804A4D">
      <w:pPr>
        <w:rPr>
          <w:b/>
          <w:sz w:val="28"/>
        </w:rPr>
      </w:pPr>
    </w:p>
    <w:p w:rsidR="00804A4D" w:rsidRDefault="00804A4D">
      <w:pPr>
        <w:rPr>
          <w:b/>
          <w:sz w:val="28"/>
        </w:rPr>
      </w:pPr>
    </w:p>
    <w:p w:rsidR="001322F5" w:rsidRDefault="001322F5">
      <w:pPr>
        <w:rPr>
          <w:b/>
          <w:sz w:val="28"/>
        </w:rPr>
      </w:pPr>
    </w:p>
    <w:p w:rsidR="00670CAF" w:rsidRDefault="00670CAF">
      <w:pPr>
        <w:rPr>
          <w:b/>
          <w:sz w:val="28"/>
        </w:rPr>
      </w:pPr>
    </w:p>
    <w:p w:rsidR="00804A4D" w:rsidRDefault="00804A4D">
      <w:pPr>
        <w:rPr>
          <w:sz w:val="28"/>
        </w:rPr>
      </w:pPr>
      <w:r>
        <w:rPr>
          <w:sz w:val="28"/>
        </w:rPr>
        <w:t>Verwaltungsgericht</w:t>
      </w:r>
      <w:r w:rsidR="001322F5">
        <w:rPr>
          <w:sz w:val="28"/>
        </w:rPr>
        <w:t xml:space="preserve">  </w:t>
      </w:r>
      <w:r w:rsidR="00376675">
        <w:rPr>
          <w:sz w:val="28"/>
        </w:rPr>
        <w:t>Stuttgart</w:t>
      </w:r>
      <w:r w:rsidR="001322F5">
        <w:rPr>
          <w:sz w:val="28"/>
        </w:rPr>
        <w:t xml:space="preserve">                                                             </w:t>
      </w:r>
      <w:r w:rsidR="00376675">
        <w:rPr>
          <w:sz w:val="28"/>
        </w:rPr>
        <w:t xml:space="preserve">                      </w:t>
      </w:r>
    </w:p>
    <w:p w:rsidR="00804A4D" w:rsidRDefault="00376675">
      <w:pPr>
        <w:rPr>
          <w:sz w:val="28"/>
        </w:rPr>
      </w:pPr>
      <w:r>
        <w:rPr>
          <w:sz w:val="28"/>
        </w:rPr>
        <w:t xml:space="preserve">Augustenstr. 5                                                         </w:t>
      </w:r>
      <w:r w:rsidR="00F05B29">
        <w:rPr>
          <w:sz w:val="28"/>
        </w:rPr>
        <w:t xml:space="preserve">                             </w:t>
      </w:r>
      <w:r w:rsidR="00F91226">
        <w:rPr>
          <w:sz w:val="28"/>
        </w:rPr>
        <w:t xml:space="preserve">    </w:t>
      </w:r>
      <w:r w:rsidR="0023036C">
        <w:rPr>
          <w:sz w:val="28"/>
        </w:rPr>
        <w:t xml:space="preserve">  </w:t>
      </w:r>
      <w:r w:rsidR="00F05B29">
        <w:rPr>
          <w:sz w:val="28"/>
        </w:rPr>
        <w:t xml:space="preserve"> 21</w:t>
      </w:r>
      <w:r>
        <w:rPr>
          <w:sz w:val="28"/>
        </w:rPr>
        <w:t>.07.2015</w:t>
      </w:r>
    </w:p>
    <w:p w:rsidR="00376675" w:rsidRDefault="00376675">
      <w:pPr>
        <w:rPr>
          <w:sz w:val="28"/>
        </w:rPr>
      </w:pPr>
    </w:p>
    <w:p w:rsidR="00804A4D" w:rsidRDefault="00376675">
      <w:pPr>
        <w:rPr>
          <w:sz w:val="28"/>
        </w:rPr>
      </w:pPr>
      <w:r>
        <w:rPr>
          <w:sz w:val="28"/>
        </w:rPr>
        <w:t xml:space="preserve">70178 </w:t>
      </w:r>
      <w:r w:rsidR="00804A4D">
        <w:rPr>
          <w:sz w:val="28"/>
        </w:rPr>
        <w:t>Stuttgart</w:t>
      </w:r>
      <w:r>
        <w:rPr>
          <w:sz w:val="28"/>
        </w:rPr>
        <w:t xml:space="preserve">                                                                                   </w:t>
      </w:r>
      <w:r w:rsidR="00F91226">
        <w:rPr>
          <w:sz w:val="28"/>
        </w:rPr>
        <w:t xml:space="preserve">    </w:t>
      </w:r>
      <w:r w:rsidR="0023036C">
        <w:rPr>
          <w:sz w:val="28"/>
        </w:rPr>
        <w:t xml:space="preserve">  </w:t>
      </w:r>
      <w:r>
        <w:rPr>
          <w:sz w:val="28"/>
        </w:rPr>
        <w:t xml:space="preserve"> loe – 28/15 -</w:t>
      </w:r>
    </w:p>
    <w:p w:rsidR="00804A4D" w:rsidRDefault="00804A4D">
      <w:pPr>
        <w:rPr>
          <w:sz w:val="28"/>
        </w:rPr>
      </w:pPr>
    </w:p>
    <w:p w:rsidR="00804A4D" w:rsidRDefault="00804A4D">
      <w:pPr>
        <w:rPr>
          <w:sz w:val="28"/>
        </w:rPr>
      </w:pPr>
    </w:p>
    <w:p w:rsidR="00804A4D" w:rsidRDefault="00804A4D">
      <w:pPr>
        <w:rPr>
          <w:sz w:val="28"/>
        </w:rPr>
      </w:pPr>
    </w:p>
    <w:p w:rsidR="00804A4D" w:rsidRDefault="00804A4D">
      <w:pPr>
        <w:rPr>
          <w:b/>
          <w:sz w:val="32"/>
        </w:rPr>
      </w:pPr>
      <w:r>
        <w:rPr>
          <w:b/>
          <w:sz w:val="32"/>
        </w:rPr>
        <w:t xml:space="preserve">     </w:t>
      </w:r>
      <w:r w:rsidRPr="00804A4D">
        <w:rPr>
          <w:b/>
          <w:sz w:val="32"/>
        </w:rPr>
        <w:t>Antrag auf vorläufige gerichtliche Fes</w:t>
      </w:r>
      <w:r>
        <w:rPr>
          <w:b/>
          <w:sz w:val="32"/>
        </w:rPr>
        <w:t xml:space="preserve">tstellung der Zulässigkeit </w:t>
      </w:r>
      <w:r w:rsidRPr="00804A4D">
        <w:rPr>
          <w:b/>
          <w:sz w:val="32"/>
        </w:rPr>
        <w:t xml:space="preserve"> </w:t>
      </w:r>
      <w:r>
        <w:rPr>
          <w:b/>
          <w:sz w:val="32"/>
        </w:rPr>
        <w:t xml:space="preserve">          </w:t>
      </w:r>
    </w:p>
    <w:p w:rsidR="00804A4D" w:rsidRDefault="00804A4D">
      <w:pPr>
        <w:rPr>
          <w:b/>
          <w:sz w:val="32"/>
        </w:rPr>
      </w:pPr>
      <w:r>
        <w:rPr>
          <w:b/>
          <w:sz w:val="32"/>
        </w:rPr>
        <w:t xml:space="preserve">                                   des Bürgerbegehrens Storno 21</w:t>
      </w:r>
    </w:p>
    <w:p w:rsidR="00804A4D" w:rsidRDefault="00804A4D">
      <w:pPr>
        <w:rPr>
          <w:sz w:val="32"/>
        </w:rPr>
      </w:pPr>
    </w:p>
    <w:p w:rsidR="00804A4D" w:rsidRDefault="00804A4D">
      <w:pPr>
        <w:rPr>
          <w:sz w:val="28"/>
        </w:rPr>
      </w:pPr>
      <w:r w:rsidRPr="00804A4D">
        <w:rPr>
          <w:sz w:val="28"/>
        </w:rPr>
        <w:t xml:space="preserve">Namens und </w:t>
      </w:r>
      <w:r>
        <w:rPr>
          <w:sz w:val="28"/>
        </w:rPr>
        <w:t>in Vollmacht von</w:t>
      </w:r>
    </w:p>
    <w:p w:rsidR="00804A4D" w:rsidRDefault="00804A4D">
      <w:pPr>
        <w:rPr>
          <w:sz w:val="28"/>
        </w:rPr>
      </w:pPr>
    </w:p>
    <w:p w:rsidR="00804A4D" w:rsidRDefault="00830D1C" w:rsidP="00830D1C">
      <w:pPr>
        <w:pStyle w:val="Listenabsatz"/>
        <w:numPr>
          <w:ilvl w:val="0"/>
          <w:numId w:val="3"/>
        </w:numPr>
        <w:rPr>
          <w:sz w:val="28"/>
        </w:rPr>
      </w:pPr>
      <w:r>
        <w:rPr>
          <w:sz w:val="28"/>
        </w:rPr>
        <w:t>Peter Conradi, Gänsheidestraße 69, 70184 Stuttgart</w:t>
      </w:r>
    </w:p>
    <w:p w:rsidR="00077975" w:rsidRPr="00077975" w:rsidRDefault="001322F5" w:rsidP="00077975">
      <w:pPr>
        <w:pStyle w:val="Listenabsatz"/>
        <w:numPr>
          <w:ilvl w:val="0"/>
          <w:numId w:val="3"/>
        </w:numPr>
        <w:rPr>
          <w:sz w:val="28"/>
        </w:rPr>
      </w:pPr>
      <w:r>
        <w:rPr>
          <w:sz w:val="28"/>
        </w:rPr>
        <w:t>Sabine Schmidt, Heslacher Wand 20</w:t>
      </w:r>
      <w:r w:rsidR="00740E96">
        <w:rPr>
          <w:sz w:val="28"/>
        </w:rPr>
        <w:t>, 70199 Stuttgart</w:t>
      </w:r>
    </w:p>
    <w:p w:rsidR="00804A4D" w:rsidRDefault="00804A4D" w:rsidP="00804A4D">
      <w:pPr>
        <w:pStyle w:val="Listenabsatz"/>
        <w:numPr>
          <w:ilvl w:val="0"/>
          <w:numId w:val="4"/>
        </w:numPr>
        <w:rPr>
          <w:sz w:val="28"/>
        </w:rPr>
      </w:pPr>
      <w:r>
        <w:rPr>
          <w:sz w:val="28"/>
        </w:rPr>
        <w:t>Antragsteller  -</w:t>
      </w:r>
    </w:p>
    <w:p w:rsidR="00804A4D" w:rsidRDefault="00830D1C" w:rsidP="00804A4D">
      <w:pPr>
        <w:rPr>
          <w:sz w:val="28"/>
        </w:rPr>
      </w:pPr>
      <w:r>
        <w:rPr>
          <w:sz w:val="28"/>
        </w:rPr>
        <w:t>vertreten durc</w:t>
      </w:r>
      <w:r w:rsidR="00740E96">
        <w:rPr>
          <w:sz w:val="28"/>
        </w:rPr>
        <w:t>h Rechtsanwalt Dr. Eisenhart v.</w:t>
      </w:r>
      <w:r>
        <w:rPr>
          <w:sz w:val="28"/>
        </w:rPr>
        <w:t xml:space="preserve"> Loeper, 72202 Nagold</w:t>
      </w:r>
    </w:p>
    <w:p w:rsidR="00804A4D" w:rsidRDefault="00804A4D" w:rsidP="00804A4D">
      <w:pPr>
        <w:rPr>
          <w:sz w:val="28"/>
        </w:rPr>
      </w:pPr>
    </w:p>
    <w:p w:rsidR="00804A4D" w:rsidRDefault="00804A4D" w:rsidP="00804A4D">
      <w:pPr>
        <w:rPr>
          <w:sz w:val="28"/>
        </w:rPr>
      </w:pPr>
      <w:r>
        <w:rPr>
          <w:sz w:val="28"/>
        </w:rPr>
        <w:t>gegen</w:t>
      </w:r>
    </w:p>
    <w:p w:rsidR="00804A4D" w:rsidRDefault="00804A4D" w:rsidP="00804A4D">
      <w:pPr>
        <w:rPr>
          <w:sz w:val="28"/>
        </w:rPr>
      </w:pPr>
    </w:p>
    <w:p w:rsidR="00804A4D" w:rsidRDefault="00804A4D" w:rsidP="00804A4D">
      <w:pPr>
        <w:rPr>
          <w:sz w:val="28"/>
        </w:rPr>
      </w:pPr>
      <w:r>
        <w:rPr>
          <w:sz w:val="28"/>
        </w:rPr>
        <w:t>die Landeshaupts</w:t>
      </w:r>
      <w:r w:rsidR="00077975">
        <w:rPr>
          <w:sz w:val="28"/>
        </w:rPr>
        <w:t>tadt Stuttgart, vertreten durch Oberbürgermeister Fritz Kuhn,</w:t>
      </w:r>
      <w:r>
        <w:rPr>
          <w:sz w:val="28"/>
        </w:rPr>
        <w:t xml:space="preserve"> </w:t>
      </w:r>
      <w:r w:rsidR="00830D1C">
        <w:rPr>
          <w:sz w:val="28"/>
        </w:rPr>
        <w:t>Marktplatz 1, 70173 Stuttgart</w:t>
      </w:r>
    </w:p>
    <w:p w:rsidR="00831F1F" w:rsidRDefault="00831F1F" w:rsidP="00831F1F">
      <w:pPr>
        <w:pStyle w:val="Listenabsatz"/>
        <w:numPr>
          <w:ilvl w:val="0"/>
          <w:numId w:val="4"/>
        </w:numPr>
        <w:rPr>
          <w:sz w:val="28"/>
        </w:rPr>
      </w:pPr>
      <w:r>
        <w:rPr>
          <w:sz w:val="28"/>
        </w:rPr>
        <w:t xml:space="preserve">Antragsgenerin   -                                               </w:t>
      </w:r>
    </w:p>
    <w:p w:rsidR="00831F1F" w:rsidRDefault="00831F1F" w:rsidP="00831F1F">
      <w:pPr>
        <w:rPr>
          <w:sz w:val="28"/>
        </w:rPr>
      </w:pPr>
      <w:r>
        <w:rPr>
          <w:sz w:val="28"/>
        </w:rPr>
        <w:t>stelle ich hiermit gemäß § 123 VwGO den</w:t>
      </w:r>
    </w:p>
    <w:p w:rsidR="00831F1F" w:rsidRDefault="00831F1F" w:rsidP="00831F1F">
      <w:pPr>
        <w:rPr>
          <w:sz w:val="28"/>
        </w:rPr>
      </w:pPr>
    </w:p>
    <w:p w:rsidR="00831F1F" w:rsidRPr="00831F1F" w:rsidRDefault="00830D1C" w:rsidP="00831F1F">
      <w:pPr>
        <w:rPr>
          <w:b/>
          <w:sz w:val="32"/>
        </w:rPr>
      </w:pPr>
      <w:r>
        <w:rPr>
          <w:b/>
          <w:sz w:val="32"/>
        </w:rPr>
        <w:t xml:space="preserve">                       </w:t>
      </w:r>
      <w:r w:rsidR="00077975">
        <w:rPr>
          <w:b/>
          <w:sz w:val="32"/>
        </w:rPr>
        <w:t xml:space="preserve">                              </w:t>
      </w:r>
      <w:r w:rsidR="00831F1F" w:rsidRPr="00831F1F">
        <w:rPr>
          <w:b/>
          <w:sz w:val="32"/>
        </w:rPr>
        <w:t xml:space="preserve"> Antrag</w:t>
      </w:r>
      <w:r>
        <w:rPr>
          <w:b/>
          <w:sz w:val="32"/>
        </w:rPr>
        <w:t>,</w:t>
      </w:r>
    </w:p>
    <w:p w:rsidR="00804A4D" w:rsidRDefault="00804A4D" w:rsidP="00804A4D">
      <w:pPr>
        <w:rPr>
          <w:sz w:val="28"/>
        </w:rPr>
      </w:pPr>
    </w:p>
    <w:p w:rsidR="00804A4D" w:rsidRDefault="00831F1F" w:rsidP="00804A4D">
      <w:pPr>
        <w:rPr>
          <w:sz w:val="28"/>
        </w:rPr>
      </w:pPr>
      <w:r>
        <w:rPr>
          <w:sz w:val="28"/>
        </w:rPr>
        <w:t xml:space="preserve">              vorbehaltlich der endgültigen Entscheidung im Klagverfahren durch </w:t>
      </w:r>
    </w:p>
    <w:p w:rsidR="00831F1F" w:rsidRDefault="00831F1F" w:rsidP="00804A4D">
      <w:pPr>
        <w:rPr>
          <w:sz w:val="28"/>
        </w:rPr>
      </w:pPr>
      <w:r>
        <w:rPr>
          <w:sz w:val="28"/>
        </w:rPr>
        <w:t xml:space="preserve">              einstweilige Anordnung vorläufig gerichtlich festzustellen, dass der </w:t>
      </w:r>
    </w:p>
    <w:p w:rsidR="00830D1C" w:rsidRDefault="00830D1C" w:rsidP="00804A4D">
      <w:pPr>
        <w:rPr>
          <w:sz w:val="28"/>
        </w:rPr>
      </w:pPr>
      <w:r>
        <w:rPr>
          <w:sz w:val="28"/>
        </w:rPr>
        <w:t xml:space="preserve">             </w:t>
      </w:r>
      <w:r w:rsidR="00831F1F">
        <w:rPr>
          <w:sz w:val="28"/>
        </w:rPr>
        <w:t xml:space="preserve"> Gemeinderats</w:t>
      </w:r>
      <w:r>
        <w:rPr>
          <w:sz w:val="28"/>
        </w:rPr>
        <w:t xml:space="preserve"> </w:t>
      </w:r>
      <w:r w:rsidR="00831F1F">
        <w:rPr>
          <w:sz w:val="28"/>
        </w:rPr>
        <w:t>-</w:t>
      </w:r>
      <w:r>
        <w:rPr>
          <w:sz w:val="28"/>
        </w:rPr>
        <w:t xml:space="preserve"> Beschluss</w:t>
      </w:r>
      <w:r w:rsidR="00831F1F">
        <w:rPr>
          <w:sz w:val="28"/>
        </w:rPr>
        <w:t xml:space="preserve"> vom 2.Juli 2015</w:t>
      </w:r>
      <w:r>
        <w:rPr>
          <w:sz w:val="28"/>
        </w:rPr>
        <w:t xml:space="preserve"> und der auf dieser </w:t>
      </w:r>
    </w:p>
    <w:p w:rsidR="00830D1C" w:rsidRDefault="00830D1C" w:rsidP="00804A4D">
      <w:pPr>
        <w:rPr>
          <w:sz w:val="28"/>
        </w:rPr>
      </w:pPr>
      <w:r>
        <w:rPr>
          <w:sz w:val="28"/>
        </w:rPr>
        <w:t xml:space="preserve">              Grundlage erlassene Bescheid der Antragsgegnerin </w:t>
      </w:r>
      <w:r w:rsidR="00831F1F">
        <w:rPr>
          <w:sz w:val="28"/>
        </w:rPr>
        <w:t xml:space="preserve"> wegen </w:t>
      </w:r>
    </w:p>
    <w:p w:rsidR="00830D1C" w:rsidRDefault="00830D1C" w:rsidP="00804A4D">
      <w:pPr>
        <w:rPr>
          <w:sz w:val="28"/>
        </w:rPr>
      </w:pPr>
      <w:r>
        <w:rPr>
          <w:sz w:val="28"/>
        </w:rPr>
        <w:t xml:space="preserve">              Nichtzulassung des so bezeichneten „Storno 21“-Bürgerbegehrens </w:t>
      </w:r>
    </w:p>
    <w:p w:rsidR="00831F1F" w:rsidRDefault="001322F5" w:rsidP="00804A4D">
      <w:pPr>
        <w:rPr>
          <w:sz w:val="28"/>
        </w:rPr>
      </w:pPr>
      <w:r>
        <w:rPr>
          <w:sz w:val="28"/>
        </w:rPr>
        <w:t xml:space="preserve">              r</w:t>
      </w:r>
      <w:r w:rsidR="00830D1C">
        <w:rPr>
          <w:sz w:val="28"/>
        </w:rPr>
        <w:t>echtswidrig sin</w:t>
      </w:r>
      <w:r w:rsidR="00CB6A1D">
        <w:rPr>
          <w:sz w:val="28"/>
        </w:rPr>
        <w:t>d</w:t>
      </w:r>
    </w:p>
    <w:p w:rsidR="00831F1F" w:rsidRDefault="00831F1F" w:rsidP="00804A4D">
      <w:pPr>
        <w:rPr>
          <w:sz w:val="28"/>
        </w:rPr>
      </w:pPr>
      <w:r>
        <w:rPr>
          <w:sz w:val="28"/>
        </w:rPr>
        <w:t xml:space="preserve">              und das bei der Antragsgegnerin eingereichte Bürgerbegehren zulässig </w:t>
      </w:r>
    </w:p>
    <w:p w:rsidR="00831F1F" w:rsidRDefault="00831F1F" w:rsidP="00804A4D">
      <w:pPr>
        <w:rPr>
          <w:sz w:val="28"/>
        </w:rPr>
      </w:pPr>
      <w:r>
        <w:rPr>
          <w:sz w:val="28"/>
        </w:rPr>
        <w:t xml:space="preserve">              ist zu der Frage </w:t>
      </w:r>
      <w:r w:rsidR="00B7778A">
        <w:rPr>
          <w:sz w:val="28"/>
        </w:rPr>
        <w:t xml:space="preserve">„Soll die Stadt Stuttgart ihre Mitgliedschaft im Projekt </w:t>
      </w:r>
    </w:p>
    <w:p w:rsidR="00B7778A" w:rsidRDefault="00B7778A" w:rsidP="00804A4D">
      <w:pPr>
        <w:rPr>
          <w:sz w:val="28"/>
        </w:rPr>
      </w:pPr>
      <w:r>
        <w:rPr>
          <w:sz w:val="28"/>
        </w:rPr>
        <w:t xml:space="preserve">              „Stuttgart 21“ förm</w:t>
      </w:r>
      <w:r w:rsidR="00CB6A1D">
        <w:rPr>
          <w:sz w:val="28"/>
        </w:rPr>
        <w:t>l</w:t>
      </w:r>
      <w:r>
        <w:rPr>
          <w:sz w:val="28"/>
        </w:rPr>
        <w:t xml:space="preserve">ich beenden, indem sie den Finanzierungsvertrag </w:t>
      </w:r>
    </w:p>
    <w:p w:rsidR="00B7778A" w:rsidRDefault="00B7778A" w:rsidP="00804A4D">
      <w:pPr>
        <w:rPr>
          <w:sz w:val="28"/>
        </w:rPr>
      </w:pPr>
      <w:r>
        <w:rPr>
          <w:sz w:val="28"/>
        </w:rPr>
        <w:lastRenderedPageBreak/>
        <w:t xml:space="preserve">              vom 2.04.2009 und ihm vorangehende Projektverträge gegenüber den</w:t>
      </w:r>
    </w:p>
    <w:p w:rsidR="00B7778A" w:rsidRDefault="00B7778A" w:rsidP="00804A4D">
      <w:pPr>
        <w:rPr>
          <w:sz w:val="28"/>
        </w:rPr>
      </w:pPr>
      <w:r>
        <w:rPr>
          <w:sz w:val="28"/>
        </w:rPr>
        <w:t xml:space="preserve">              Vertragspartnern wegen einer grundlegend neuen Sachlage kündigt?“</w:t>
      </w:r>
    </w:p>
    <w:p w:rsidR="00CB6A1D" w:rsidRDefault="00CB6A1D" w:rsidP="00804A4D">
      <w:pPr>
        <w:rPr>
          <w:sz w:val="28"/>
        </w:rPr>
      </w:pPr>
    </w:p>
    <w:p w:rsidR="00B7778A" w:rsidRPr="008E12DD" w:rsidRDefault="00B7778A" w:rsidP="00804A4D">
      <w:pPr>
        <w:rPr>
          <w:b/>
          <w:sz w:val="28"/>
        </w:rPr>
      </w:pPr>
      <w:r w:rsidRPr="008E12DD">
        <w:rPr>
          <w:b/>
          <w:sz w:val="28"/>
        </w:rPr>
        <w:t xml:space="preserve">                                                  </w:t>
      </w:r>
      <w:r w:rsidR="008E12DD">
        <w:rPr>
          <w:b/>
          <w:sz w:val="28"/>
        </w:rPr>
        <w:t xml:space="preserve">      </w:t>
      </w:r>
      <w:r w:rsidRPr="008E12DD">
        <w:rPr>
          <w:b/>
          <w:sz w:val="28"/>
        </w:rPr>
        <w:t xml:space="preserve">  Begründung</w:t>
      </w:r>
      <w:r w:rsidR="00CB6A1D">
        <w:rPr>
          <w:b/>
          <w:sz w:val="28"/>
        </w:rPr>
        <w:t>:</w:t>
      </w:r>
    </w:p>
    <w:p w:rsidR="008E12DD" w:rsidRPr="008E12DD" w:rsidRDefault="008E12DD" w:rsidP="008E12DD">
      <w:pPr>
        <w:rPr>
          <w:b/>
          <w:sz w:val="32"/>
        </w:rPr>
      </w:pPr>
    </w:p>
    <w:p w:rsidR="00B7778A" w:rsidRDefault="008E12DD" w:rsidP="008E12DD">
      <w:pPr>
        <w:pStyle w:val="Listenabsatz"/>
        <w:ind w:left="4110"/>
        <w:rPr>
          <w:sz w:val="24"/>
        </w:rPr>
      </w:pPr>
      <w:r w:rsidRPr="008E12DD">
        <w:rPr>
          <w:b/>
          <w:sz w:val="28"/>
        </w:rPr>
        <w:t xml:space="preserve">    I.</w:t>
      </w:r>
      <w:r w:rsidRPr="008E12DD">
        <w:rPr>
          <w:sz w:val="24"/>
        </w:rPr>
        <w:t xml:space="preserve"> </w:t>
      </w:r>
    </w:p>
    <w:p w:rsidR="008E12DD" w:rsidRDefault="008E12DD" w:rsidP="008E12DD">
      <w:pPr>
        <w:rPr>
          <w:b/>
          <w:sz w:val="28"/>
        </w:rPr>
      </w:pPr>
      <w:r w:rsidRPr="008E12DD">
        <w:rPr>
          <w:b/>
          <w:sz w:val="28"/>
        </w:rPr>
        <w:t xml:space="preserve">                                 </w:t>
      </w:r>
      <w:r w:rsidR="008701CD">
        <w:rPr>
          <w:b/>
          <w:sz w:val="28"/>
        </w:rPr>
        <w:t xml:space="preserve">           </w:t>
      </w:r>
      <w:r w:rsidR="0087695D">
        <w:rPr>
          <w:b/>
          <w:sz w:val="28"/>
        </w:rPr>
        <w:t xml:space="preserve"> </w:t>
      </w:r>
      <w:r w:rsidR="008701CD">
        <w:rPr>
          <w:b/>
          <w:sz w:val="28"/>
        </w:rPr>
        <w:t xml:space="preserve"> Zur Zulässigkeit des Antrags</w:t>
      </w:r>
    </w:p>
    <w:p w:rsidR="008E12DD" w:rsidRDefault="008E12DD" w:rsidP="008E12DD">
      <w:pPr>
        <w:rPr>
          <w:b/>
          <w:sz w:val="28"/>
        </w:rPr>
      </w:pPr>
    </w:p>
    <w:p w:rsidR="006530EE" w:rsidRDefault="008E12DD" w:rsidP="008E12DD">
      <w:pPr>
        <w:pStyle w:val="Listenabsatz"/>
        <w:numPr>
          <w:ilvl w:val="0"/>
          <w:numId w:val="6"/>
        </w:numPr>
        <w:rPr>
          <w:sz w:val="28"/>
        </w:rPr>
      </w:pPr>
      <w:r>
        <w:rPr>
          <w:sz w:val="28"/>
        </w:rPr>
        <w:t>Die Antrag</w:t>
      </w:r>
      <w:r w:rsidR="001322F5">
        <w:rPr>
          <w:sz w:val="28"/>
        </w:rPr>
        <w:t xml:space="preserve">steller sind </w:t>
      </w:r>
      <w:r>
        <w:rPr>
          <w:sz w:val="28"/>
        </w:rPr>
        <w:t xml:space="preserve"> Mitunter</w:t>
      </w:r>
      <w:r w:rsidR="00712499">
        <w:rPr>
          <w:sz w:val="28"/>
        </w:rPr>
        <w:t>zeichner</w:t>
      </w:r>
      <w:r w:rsidR="001322F5">
        <w:rPr>
          <w:sz w:val="28"/>
        </w:rPr>
        <w:t xml:space="preserve">, der Antragsteller Ziffer 1 auch Vertrauensperson </w:t>
      </w:r>
      <w:r w:rsidR="00712499">
        <w:rPr>
          <w:sz w:val="28"/>
        </w:rPr>
        <w:t xml:space="preserve"> eines Bürgerbegehrens, das am 17.12.2014 mit insgesamt 20.017</w:t>
      </w:r>
      <w:r w:rsidR="005E1E23">
        <w:rPr>
          <w:sz w:val="28"/>
        </w:rPr>
        <w:t xml:space="preserve"> gültigen  Unter</w:t>
      </w:r>
      <w:r w:rsidR="00712499">
        <w:rPr>
          <w:sz w:val="28"/>
        </w:rPr>
        <w:t>schriften  von Stuttgarter Bürgeri</w:t>
      </w:r>
      <w:r w:rsidR="005E1E23">
        <w:rPr>
          <w:sz w:val="28"/>
        </w:rPr>
        <w:t>nnen und Bürgern dem Oberbürger</w:t>
      </w:r>
      <w:r w:rsidR="00712499">
        <w:rPr>
          <w:sz w:val="28"/>
        </w:rPr>
        <w:t xml:space="preserve">meister der </w:t>
      </w:r>
      <w:r w:rsidR="006530EE">
        <w:rPr>
          <w:sz w:val="28"/>
        </w:rPr>
        <w:t>Antragsgegnerin übergeben wurde</w:t>
      </w:r>
      <w:r w:rsidR="00712499">
        <w:rPr>
          <w:sz w:val="28"/>
        </w:rPr>
        <w:t>.</w:t>
      </w:r>
      <w:r w:rsidR="006530EE">
        <w:rPr>
          <w:sz w:val="28"/>
        </w:rPr>
        <w:t xml:space="preserve"> Die Gültigkeit der Unterschriften war zuvor bereits vom Statistischen Amt der Stadt Stuttgart überprüft und anerkannt worden. </w:t>
      </w:r>
    </w:p>
    <w:p w:rsidR="006530EE" w:rsidRDefault="006530EE" w:rsidP="006530EE">
      <w:pPr>
        <w:pStyle w:val="Listenabsatz"/>
        <w:rPr>
          <w:sz w:val="28"/>
        </w:rPr>
      </w:pPr>
    </w:p>
    <w:p w:rsidR="006530EE" w:rsidRDefault="006530EE" w:rsidP="006530EE">
      <w:pPr>
        <w:pStyle w:val="Listenabsatz"/>
        <w:rPr>
          <w:sz w:val="28"/>
        </w:rPr>
      </w:pPr>
      <w:r>
        <w:rPr>
          <w:sz w:val="28"/>
        </w:rPr>
        <w:t>Beweis: Gutachterliche Stellungnahme zur Zulässigkeit des Bürgerbegehrens der Rechtsanwälte Deubner &amp; Kirchberg vom 7.05.2015, Seite 3 f. als Vertreter der Antragsgegnerin, Anlage K 1</w:t>
      </w:r>
    </w:p>
    <w:p w:rsidR="006530EE" w:rsidRDefault="006530EE" w:rsidP="006530EE">
      <w:pPr>
        <w:pStyle w:val="Listenabsatz"/>
        <w:rPr>
          <w:sz w:val="28"/>
        </w:rPr>
      </w:pPr>
    </w:p>
    <w:p w:rsidR="005A565C" w:rsidRDefault="006530EE" w:rsidP="006530EE">
      <w:pPr>
        <w:pStyle w:val="Listenabsatz"/>
        <w:rPr>
          <w:sz w:val="28"/>
        </w:rPr>
      </w:pPr>
      <w:r>
        <w:rPr>
          <w:sz w:val="28"/>
        </w:rPr>
        <w:t>Das</w:t>
      </w:r>
      <w:r w:rsidR="00E35101">
        <w:rPr>
          <w:sz w:val="28"/>
        </w:rPr>
        <w:t xml:space="preserve"> so bezeichnete Storno 21</w:t>
      </w:r>
      <w:r>
        <w:rPr>
          <w:sz w:val="28"/>
        </w:rPr>
        <w:t xml:space="preserve">-Bürgerbegehren strebt nach § 21 Absatz 3 GemO den </w:t>
      </w:r>
      <w:r w:rsidR="005A565C">
        <w:rPr>
          <w:sz w:val="28"/>
        </w:rPr>
        <w:t xml:space="preserve"> Bürgerentscheid an zu der Frage</w:t>
      </w:r>
    </w:p>
    <w:p w:rsidR="005A565C" w:rsidRDefault="005A565C" w:rsidP="006530EE">
      <w:pPr>
        <w:pStyle w:val="Listenabsatz"/>
        <w:rPr>
          <w:sz w:val="28"/>
        </w:rPr>
      </w:pPr>
    </w:p>
    <w:p w:rsidR="005A565C" w:rsidRPr="005A565C" w:rsidRDefault="005A565C" w:rsidP="006530EE">
      <w:pPr>
        <w:pStyle w:val="Listenabsatz"/>
        <w:rPr>
          <w:i/>
          <w:sz w:val="28"/>
        </w:rPr>
      </w:pPr>
      <w:r w:rsidRPr="005A565C">
        <w:rPr>
          <w:i/>
          <w:sz w:val="28"/>
        </w:rPr>
        <w:t>„Soll die Stadt Stuttgart ihre Mitgliedschaft im Projekt „Stuttgart 21“ förmlich beenden, indem sie den Finanzierungsvertrag vom 2.04.2009 und ihn vorangehende Projektverträge gegenüber den Vertragspartnern wegen einer grundlegend neuen Sachlage kündigt?“</w:t>
      </w:r>
    </w:p>
    <w:p w:rsidR="005A565C" w:rsidRDefault="005A565C" w:rsidP="006530EE">
      <w:pPr>
        <w:pStyle w:val="Listenabsatz"/>
        <w:rPr>
          <w:sz w:val="28"/>
        </w:rPr>
      </w:pPr>
    </w:p>
    <w:p w:rsidR="008E12DD" w:rsidRDefault="005A565C" w:rsidP="006530EE">
      <w:pPr>
        <w:pStyle w:val="Listenabsatz"/>
        <w:rPr>
          <w:sz w:val="28"/>
        </w:rPr>
      </w:pPr>
      <w:r>
        <w:rPr>
          <w:sz w:val="28"/>
        </w:rPr>
        <w:t>Beweis: Unterschriftenliste, Anlage K 2</w:t>
      </w:r>
      <w:r w:rsidR="00712499">
        <w:rPr>
          <w:sz w:val="28"/>
        </w:rPr>
        <w:t xml:space="preserve"> </w:t>
      </w:r>
    </w:p>
    <w:p w:rsidR="008E12DD" w:rsidRDefault="008E12DD" w:rsidP="008E12DD">
      <w:pPr>
        <w:pStyle w:val="Listenabsatz"/>
        <w:rPr>
          <w:sz w:val="28"/>
        </w:rPr>
      </w:pPr>
    </w:p>
    <w:p w:rsidR="005E1E23" w:rsidRDefault="005A565C" w:rsidP="008E12DD">
      <w:pPr>
        <w:pStyle w:val="Listenabsatz"/>
        <w:rPr>
          <w:sz w:val="28"/>
        </w:rPr>
      </w:pPr>
      <w:r>
        <w:rPr>
          <w:sz w:val="28"/>
        </w:rPr>
        <w:t xml:space="preserve">Zur Begründung des Bürgerbegehrens wird </w:t>
      </w:r>
      <w:r w:rsidRPr="005A565C">
        <w:rPr>
          <w:sz w:val="28"/>
          <w:u w:val="single"/>
        </w:rPr>
        <w:t xml:space="preserve">„ein Recht der Stadt Stuttgart zum Ausstieg aus diesem Projekt wegen grundlegend neuer Sachlage </w:t>
      </w:r>
      <w:r>
        <w:rPr>
          <w:sz w:val="28"/>
          <w:u w:val="single"/>
        </w:rPr>
        <w:t xml:space="preserve">     </w:t>
      </w:r>
      <w:r w:rsidRPr="005A565C">
        <w:rPr>
          <w:sz w:val="28"/>
          <w:u w:val="single"/>
        </w:rPr>
        <w:t>(§</w:t>
      </w:r>
      <w:r>
        <w:rPr>
          <w:sz w:val="28"/>
        </w:rPr>
        <w:t xml:space="preserve"> </w:t>
      </w:r>
      <w:r w:rsidRPr="005A565C">
        <w:rPr>
          <w:sz w:val="28"/>
          <w:u w:val="single"/>
        </w:rPr>
        <w:t>60 Verwaltungsverfahrensgesetz</w:t>
      </w:r>
      <w:r>
        <w:rPr>
          <w:sz w:val="28"/>
        </w:rPr>
        <w:t>)“ geltend gemacht.</w:t>
      </w:r>
    </w:p>
    <w:p w:rsidR="005A565C" w:rsidRDefault="00E35101" w:rsidP="008E12DD">
      <w:pPr>
        <w:pStyle w:val="Listenabsatz"/>
        <w:rPr>
          <w:sz w:val="28"/>
        </w:rPr>
      </w:pPr>
      <w:r>
        <w:rPr>
          <w:sz w:val="28"/>
        </w:rPr>
        <w:t>Als tragende Begründung ist aus</w:t>
      </w:r>
      <w:r w:rsidR="005E1E23">
        <w:rPr>
          <w:sz w:val="28"/>
        </w:rPr>
        <w:t xml:space="preserve"> der Unterschriftsliste</w:t>
      </w:r>
      <w:r>
        <w:rPr>
          <w:sz w:val="28"/>
        </w:rPr>
        <w:t xml:space="preserve"> hervorzuheben</w:t>
      </w:r>
      <w:r w:rsidR="005A565C">
        <w:rPr>
          <w:sz w:val="28"/>
        </w:rPr>
        <w:t>:</w:t>
      </w:r>
    </w:p>
    <w:p w:rsidR="0098792E" w:rsidRDefault="0098792E" w:rsidP="008E12DD">
      <w:pPr>
        <w:pStyle w:val="Listenabsatz"/>
        <w:rPr>
          <w:sz w:val="28"/>
        </w:rPr>
      </w:pPr>
    </w:p>
    <w:p w:rsidR="005A565C" w:rsidRDefault="005A565C" w:rsidP="008E12DD">
      <w:pPr>
        <w:pStyle w:val="Listenabsatz"/>
        <w:rPr>
          <w:sz w:val="28"/>
        </w:rPr>
      </w:pPr>
      <w:r>
        <w:rPr>
          <w:sz w:val="28"/>
        </w:rPr>
        <w:t>„So musste die Deutsche Bahn AG am 12. Dez. 2012</w:t>
      </w:r>
      <w:r w:rsidR="0098792E">
        <w:rPr>
          <w:sz w:val="28"/>
        </w:rPr>
        <w:t xml:space="preserve"> eingestehen, dass die viel beschworene Kostenobergrenze von 4,526 Milliarden Euro um bis zu 2,3 Milliarden Euro überschritten ist. Eine Fehlkalkulation von 1,1 Mrd. Euro räumt sie als selbst verschuldet ein aufgrund „nicht budgetierter Leistungen“ und „nicht realisierbarer Planansätze</w:t>
      </w:r>
      <w:r w:rsidR="005E1E23">
        <w:rPr>
          <w:sz w:val="28"/>
        </w:rPr>
        <w:t>“. Überein</w:t>
      </w:r>
      <w:r w:rsidR="0098792E">
        <w:rPr>
          <w:sz w:val="28"/>
        </w:rPr>
        <w:t xml:space="preserve">einstimmend damit hat sie … schon drei Jahre zuvor die Kosten mit fälschlich behaupteten Einsparpotentialen von 891 Millionen Euro </w:t>
      </w:r>
      <w:r w:rsidR="0098792E">
        <w:rPr>
          <w:sz w:val="28"/>
        </w:rPr>
        <w:lastRenderedPageBreak/>
        <w:t>„schön gerechnet“. Die Bahn-Verantwortlichen haben dadurch die Informations- und Gestaltungsrechte der Stadt drei Jahre hindurch grob verletzt bzw. behindert. …“</w:t>
      </w:r>
    </w:p>
    <w:p w:rsidR="0098792E" w:rsidRDefault="0098792E" w:rsidP="008E12DD">
      <w:pPr>
        <w:pStyle w:val="Listenabsatz"/>
        <w:rPr>
          <w:sz w:val="28"/>
        </w:rPr>
      </w:pPr>
    </w:p>
    <w:p w:rsidR="0098792E" w:rsidRDefault="0098792E" w:rsidP="008E12DD">
      <w:pPr>
        <w:pStyle w:val="Listenabsatz"/>
        <w:rPr>
          <w:sz w:val="28"/>
        </w:rPr>
      </w:pPr>
      <w:r>
        <w:rPr>
          <w:sz w:val="28"/>
        </w:rPr>
        <w:t>Beweis: Wie oben</w:t>
      </w:r>
    </w:p>
    <w:p w:rsidR="008E12DD" w:rsidRPr="009F15FE" w:rsidRDefault="008E12DD" w:rsidP="009F15FE">
      <w:pPr>
        <w:rPr>
          <w:sz w:val="28"/>
        </w:rPr>
      </w:pPr>
    </w:p>
    <w:p w:rsidR="008E12DD" w:rsidRDefault="008E12DD" w:rsidP="008E12DD">
      <w:pPr>
        <w:pStyle w:val="Listenabsatz"/>
        <w:numPr>
          <w:ilvl w:val="0"/>
          <w:numId w:val="6"/>
        </w:numPr>
        <w:rPr>
          <w:sz w:val="28"/>
        </w:rPr>
      </w:pPr>
      <w:r>
        <w:rPr>
          <w:sz w:val="28"/>
        </w:rPr>
        <w:t xml:space="preserve">Die Antragsgegnerin hat das Bürgerbegehren </w:t>
      </w:r>
      <w:r w:rsidR="001322F5">
        <w:rPr>
          <w:sz w:val="28"/>
        </w:rPr>
        <w:t>- auf Antrag ihrer</w:t>
      </w:r>
      <w:r w:rsidR="005E1E23">
        <w:rPr>
          <w:sz w:val="28"/>
        </w:rPr>
        <w:t xml:space="preserve"> Sta</w:t>
      </w:r>
      <w:r w:rsidR="000E6E4F">
        <w:rPr>
          <w:sz w:val="28"/>
        </w:rPr>
        <w:t>dtverwaltung und gestützt auf die vorgelegte gutachterliche Stellungnahme</w:t>
      </w:r>
      <w:r w:rsidR="005E1E23">
        <w:rPr>
          <w:sz w:val="28"/>
        </w:rPr>
        <w:t xml:space="preserve"> von Dr. Kirchberg </w:t>
      </w:r>
      <w:r w:rsidR="000E6E4F">
        <w:rPr>
          <w:sz w:val="28"/>
        </w:rPr>
        <w:t>– durch  Mehrheits</w:t>
      </w:r>
      <w:r>
        <w:rPr>
          <w:sz w:val="28"/>
        </w:rPr>
        <w:t>beschluss des Gemeinderats vom 2.Juli 20</w:t>
      </w:r>
      <w:r w:rsidR="00CB6A1D">
        <w:rPr>
          <w:sz w:val="28"/>
        </w:rPr>
        <w:t xml:space="preserve">15 als nicht zulässig abgelehnt. Der Ablehnungsbescheid </w:t>
      </w:r>
      <w:r w:rsidR="001322F5">
        <w:rPr>
          <w:sz w:val="28"/>
        </w:rPr>
        <w:t xml:space="preserve">soll </w:t>
      </w:r>
      <w:r w:rsidR="00CB6A1D">
        <w:rPr>
          <w:sz w:val="28"/>
        </w:rPr>
        <w:t xml:space="preserve">nach telefonisch erteilter Auskunft Ende Juli 2015 den Vertrauensleuten des Bürgerbegehrens zugestellt werden. </w:t>
      </w:r>
    </w:p>
    <w:p w:rsidR="008E12DD" w:rsidRDefault="008E12DD" w:rsidP="008E12DD">
      <w:pPr>
        <w:pStyle w:val="Listenabsatz"/>
        <w:rPr>
          <w:sz w:val="28"/>
        </w:rPr>
      </w:pPr>
    </w:p>
    <w:p w:rsidR="008E12DD" w:rsidRDefault="008E12DD" w:rsidP="008E12DD">
      <w:pPr>
        <w:pStyle w:val="Listenabsatz"/>
        <w:rPr>
          <w:sz w:val="28"/>
        </w:rPr>
      </w:pPr>
      <w:r>
        <w:rPr>
          <w:sz w:val="28"/>
        </w:rPr>
        <w:t>Beweis: Bescheid</w:t>
      </w:r>
      <w:r w:rsidR="00CB6A1D">
        <w:rPr>
          <w:sz w:val="28"/>
        </w:rPr>
        <w:t xml:space="preserve"> der Antragsgegnerin, der nach erfolgter Zustellung nachgereicht wird</w:t>
      </w:r>
    </w:p>
    <w:p w:rsidR="00DC1EB3" w:rsidRDefault="00DC1EB3" w:rsidP="008E12DD">
      <w:pPr>
        <w:pStyle w:val="Listenabsatz"/>
        <w:rPr>
          <w:sz w:val="28"/>
        </w:rPr>
      </w:pPr>
    </w:p>
    <w:p w:rsidR="00DC1EB3" w:rsidRDefault="00DC1EB3" w:rsidP="008E12DD">
      <w:pPr>
        <w:pStyle w:val="Listenabsatz"/>
        <w:rPr>
          <w:sz w:val="28"/>
        </w:rPr>
      </w:pPr>
      <w:r>
        <w:rPr>
          <w:sz w:val="28"/>
        </w:rPr>
        <w:t>In der gutachterlichen Stellungnahme des Bevollmächtigten der Antragsgegnerin wird nicht einbezogen, dass das Bürgerbegehren sich auf zweierlei Gründe stützt, nämlich nicht allein auf die am 12.12.2012 öffentlich eingestandenen Mehrkosten von Stuttgart 21</w:t>
      </w:r>
      <w:r w:rsidR="00740E96">
        <w:rPr>
          <w:sz w:val="28"/>
        </w:rPr>
        <w:t xml:space="preserve"> von bis zu 2,3 Mrd. Euro</w:t>
      </w:r>
      <w:r>
        <w:rPr>
          <w:sz w:val="28"/>
        </w:rPr>
        <w:t xml:space="preserve">, sondern auch darauf, dass </w:t>
      </w:r>
      <w:r w:rsidR="00740E96">
        <w:rPr>
          <w:sz w:val="28"/>
        </w:rPr>
        <w:t xml:space="preserve">die Deutsche Bahn AG </w:t>
      </w:r>
      <w:r>
        <w:rPr>
          <w:sz w:val="28"/>
        </w:rPr>
        <w:t>der Antragsgegnerin drei Jahre hindurch die drastische Überschreitung des Kostenrahmens, die jetzt als „Kalkulationsdifferenz“</w:t>
      </w:r>
      <w:r w:rsidR="00B90C08">
        <w:rPr>
          <w:sz w:val="28"/>
        </w:rPr>
        <w:t xml:space="preserve"> </w:t>
      </w:r>
      <w:r>
        <w:rPr>
          <w:sz w:val="28"/>
        </w:rPr>
        <w:t>von 1,1 Milliarden Euro ausgewiesen wird</w:t>
      </w:r>
      <w:r w:rsidR="00B90C08">
        <w:rPr>
          <w:sz w:val="28"/>
        </w:rPr>
        <w:t>, verschwiegen hat.</w:t>
      </w:r>
    </w:p>
    <w:p w:rsidR="00B90C08" w:rsidRDefault="00B90C08" w:rsidP="008E12DD">
      <w:pPr>
        <w:pStyle w:val="Listenabsatz"/>
        <w:rPr>
          <w:sz w:val="28"/>
        </w:rPr>
      </w:pPr>
    </w:p>
    <w:p w:rsidR="00B90C08" w:rsidRPr="00CB6A1D" w:rsidRDefault="00B90C08" w:rsidP="00CB6A1D">
      <w:pPr>
        <w:pStyle w:val="Listenabsatz"/>
        <w:rPr>
          <w:sz w:val="28"/>
        </w:rPr>
      </w:pPr>
      <w:r>
        <w:rPr>
          <w:sz w:val="28"/>
        </w:rPr>
        <w:t>Die Initiatoren des Bürgerbegehrens sehen darin einen das Vertragsver-hältnis zwischen den Projektpartnern unheilbar schwer belastenden Vertrauensbruch der Deutschen Bahn AG, der das Kündigungsrecht im Sinne des Ausstiegs der Stadt aus dem Projekt S 21 begründet.</w:t>
      </w:r>
      <w:r w:rsidR="00CB6A1D">
        <w:rPr>
          <w:sz w:val="28"/>
        </w:rPr>
        <w:t xml:space="preserve"> Sie stützen sich damit auf einen </w:t>
      </w:r>
      <w:r w:rsidR="00CB6A1D" w:rsidRPr="00423EE2">
        <w:rPr>
          <w:sz w:val="28"/>
          <w:u w:val="single"/>
        </w:rPr>
        <w:t>Anordnungsanspruch</w:t>
      </w:r>
      <w:r w:rsidR="00CB6A1D">
        <w:rPr>
          <w:sz w:val="28"/>
        </w:rPr>
        <w:t xml:space="preserve">, </w:t>
      </w:r>
      <w:r w:rsidR="00423EE2">
        <w:rPr>
          <w:sz w:val="28"/>
        </w:rPr>
        <w:t>das heißt auf ein Recht, das i.S. des § 123 Absatz 1 VwGO durch gerichtliche Entscheidung einstweilen gesichert werden soll.</w:t>
      </w:r>
    </w:p>
    <w:p w:rsidR="008701CD" w:rsidRDefault="008701CD" w:rsidP="008E12DD">
      <w:pPr>
        <w:pStyle w:val="Listenabsatz"/>
        <w:rPr>
          <w:sz w:val="28"/>
        </w:rPr>
      </w:pPr>
    </w:p>
    <w:p w:rsidR="007230CE" w:rsidRDefault="00423EE2" w:rsidP="007230CE">
      <w:pPr>
        <w:pStyle w:val="Listenabsatz"/>
        <w:numPr>
          <w:ilvl w:val="0"/>
          <w:numId w:val="6"/>
        </w:numPr>
        <w:rPr>
          <w:sz w:val="28"/>
        </w:rPr>
      </w:pPr>
      <w:r w:rsidRPr="00423EE2">
        <w:rPr>
          <w:sz w:val="28"/>
          <w:u w:val="single"/>
        </w:rPr>
        <w:t>Zum Anordnungsgrund</w:t>
      </w:r>
      <w:r>
        <w:rPr>
          <w:sz w:val="28"/>
        </w:rPr>
        <w:t>: Es besteht</w:t>
      </w:r>
      <w:r w:rsidR="00335242">
        <w:rPr>
          <w:sz w:val="28"/>
        </w:rPr>
        <w:t xml:space="preserve"> ferner</w:t>
      </w:r>
      <w:r>
        <w:rPr>
          <w:sz w:val="28"/>
        </w:rPr>
        <w:t xml:space="preserve"> die Gefahr, dass </w:t>
      </w:r>
      <w:r w:rsidR="00740E96">
        <w:rPr>
          <w:sz w:val="28"/>
        </w:rPr>
        <w:t xml:space="preserve">das Recht der Antragsteller, die Kündigung der Projektverträge durch Bürgerentscheid zu bewirken, </w:t>
      </w:r>
      <w:r>
        <w:rPr>
          <w:sz w:val="28"/>
        </w:rPr>
        <w:t>durch eine Veränderung des bestehenden Zustands infolge stetigen Bauf</w:t>
      </w:r>
      <w:r w:rsidR="006D7A23">
        <w:rPr>
          <w:sz w:val="28"/>
        </w:rPr>
        <w:t>ortgangs</w:t>
      </w:r>
      <w:r>
        <w:rPr>
          <w:sz w:val="28"/>
        </w:rPr>
        <w:t xml:space="preserve"> zumindest we</w:t>
      </w:r>
      <w:r w:rsidR="006D7A23">
        <w:rPr>
          <w:sz w:val="28"/>
        </w:rPr>
        <w:t>sentlich erschwert werden würde. F</w:t>
      </w:r>
      <w:r>
        <w:rPr>
          <w:sz w:val="28"/>
        </w:rPr>
        <w:t>alls das Widerspruchs- und Klagverfahren mit mehrjähriger La</w:t>
      </w:r>
      <w:r w:rsidR="006D7A23">
        <w:rPr>
          <w:sz w:val="28"/>
        </w:rPr>
        <w:t xml:space="preserve">ufzeit abgewartet werden müsste, ohne dass eine </w:t>
      </w:r>
      <w:r w:rsidR="00335242">
        <w:rPr>
          <w:sz w:val="28"/>
        </w:rPr>
        <w:t xml:space="preserve"> einstweilige gerichtliche Entscheidung</w:t>
      </w:r>
      <w:r w:rsidR="006D7A23">
        <w:rPr>
          <w:sz w:val="28"/>
        </w:rPr>
        <w:t xml:space="preserve"> erginge, würde das Bürgerbegehren </w:t>
      </w:r>
      <w:r w:rsidR="00335242">
        <w:rPr>
          <w:sz w:val="28"/>
        </w:rPr>
        <w:t xml:space="preserve"> </w:t>
      </w:r>
      <w:r w:rsidR="00D76DB1">
        <w:rPr>
          <w:sz w:val="28"/>
        </w:rPr>
        <w:t xml:space="preserve">wirkungslos </w:t>
      </w:r>
      <w:r w:rsidR="00335242">
        <w:rPr>
          <w:sz w:val="28"/>
        </w:rPr>
        <w:t xml:space="preserve"> bleiben.</w:t>
      </w:r>
      <w:r>
        <w:rPr>
          <w:sz w:val="28"/>
        </w:rPr>
        <w:t xml:space="preserve"> </w:t>
      </w:r>
      <w:r w:rsidR="00E35101">
        <w:rPr>
          <w:sz w:val="28"/>
        </w:rPr>
        <w:t>D</w:t>
      </w:r>
      <w:r w:rsidR="00D76DB1">
        <w:rPr>
          <w:sz w:val="28"/>
        </w:rPr>
        <w:t xml:space="preserve">er </w:t>
      </w:r>
      <w:r w:rsidR="003F0A88">
        <w:rPr>
          <w:sz w:val="28"/>
        </w:rPr>
        <w:t xml:space="preserve">deshalb </w:t>
      </w:r>
      <w:r w:rsidR="00D76DB1">
        <w:rPr>
          <w:sz w:val="28"/>
        </w:rPr>
        <w:t xml:space="preserve">gestellte Antrag  ist aufgrund </w:t>
      </w:r>
      <w:r w:rsidR="008701CD" w:rsidRPr="007230CE">
        <w:rPr>
          <w:sz w:val="28"/>
        </w:rPr>
        <w:t xml:space="preserve"> der neueren Rechtsp</w:t>
      </w:r>
      <w:r w:rsidR="00683528">
        <w:rPr>
          <w:sz w:val="28"/>
        </w:rPr>
        <w:t xml:space="preserve">rechung </w:t>
      </w:r>
      <w:r w:rsidR="00683528">
        <w:rPr>
          <w:sz w:val="28"/>
        </w:rPr>
        <w:lastRenderedPageBreak/>
        <w:t>des Verwaltungsgerichts</w:t>
      </w:r>
      <w:r w:rsidR="008701CD" w:rsidRPr="007230CE">
        <w:rPr>
          <w:sz w:val="28"/>
        </w:rPr>
        <w:t xml:space="preserve">hofs Baden-Württemberg </w:t>
      </w:r>
      <w:r w:rsidR="00783A1F" w:rsidRPr="007230CE">
        <w:rPr>
          <w:sz w:val="28"/>
        </w:rPr>
        <w:t>(Beschluss v. 27.04.2010 – 1 S 2810/09 – VBlBW 2010, 311)</w:t>
      </w:r>
      <w:r w:rsidR="003F0A88">
        <w:rPr>
          <w:sz w:val="28"/>
        </w:rPr>
        <w:t xml:space="preserve"> als  zulässig anerkannt.</w:t>
      </w:r>
      <w:r w:rsidR="00D76DB1">
        <w:rPr>
          <w:sz w:val="28"/>
        </w:rPr>
        <w:t xml:space="preserve"> </w:t>
      </w:r>
    </w:p>
    <w:p w:rsidR="00683528" w:rsidRDefault="00683528" w:rsidP="00683528">
      <w:pPr>
        <w:rPr>
          <w:sz w:val="28"/>
        </w:rPr>
      </w:pPr>
    </w:p>
    <w:p w:rsidR="00683528" w:rsidRPr="00683528" w:rsidRDefault="00D76DB1" w:rsidP="00683528">
      <w:pPr>
        <w:pStyle w:val="Listenabsatz"/>
        <w:numPr>
          <w:ilvl w:val="0"/>
          <w:numId w:val="6"/>
        </w:numPr>
        <w:rPr>
          <w:sz w:val="28"/>
        </w:rPr>
      </w:pPr>
      <w:r>
        <w:rPr>
          <w:sz w:val="28"/>
        </w:rPr>
        <w:t>Zu ergänzen ist: D</w:t>
      </w:r>
      <w:r w:rsidR="00683528">
        <w:rPr>
          <w:sz w:val="28"/>
        </w:rPr>
        <w:t xml:space="preserve">ie  Antragsteller halten es im Interesse der </w:t>
      </w:r>
      <w:r w:rsidR="002A41AF">
        <w:rPr>
          <w:sz w:val="28"/>
        </w:rPr>
        <w:t>R</w:t>
      </w:r>
      <w:r w:rsidR="00683528">
        <w:rPr>
          <w:sz w:val="28"/>
        </w:rPr>
        <w:t xml:space="preserve">echtssicherheit für </w:t>
      </w:r>
      <w:r w:rsidR="002A41AF">
        <w:rPr>
          <w:sz w:val="28"/>
        </w:rPr>
        <w:t>untragbar, dass ständig das Großproj</w:t>
      </w:r>
      <w:r>
        <w:rPr>
          <w:sz w:val="28"/>
        </w:rPr>
        <w:t>ekt „Stuttgart 21“ durch Baumaß</w:t>
      </w:r>
      <w:r w:rsidR="002A41AF">
        <w:rPr>
          <w:sz w:val="28"/>
        </w:rPr>
        <w:t>nahmen vorangetrieben wird, obwohl die Gesamtfinanzierung se</w:t>
      </w:r>
      <w:r w:rsidR="00077975">
        <w:rPr>
          <w:sz w:val="28"/>
        </w:rPr>
        <w:t>ine Vertragsgrundlage eingebüßt</w:t>
      </w:r>
      <w:r w:rsidR="002A41AF">
        <w:rPr>
          <w:sz w:val="28"/>
        </w:rPr>
        <w:t xml:space="preserve"> hat und nicht erneuert wurde. Die kritische Bürgerschaft der Stadt hat angesichts der Untätigkeit des Gemeinderats kurzfristig allein durch die beantragte einstweilige Anordnung die Möglichkeit, auf die gebotenen rechtlichen Konsequenzen aus der seit dem 12. Dez. 2012 grundlegend neuen Lage </w:t>
      </w:r>
      <w:r w:rsidR="00E801A0">
        <w:rPr>
          <w:sz w:val="28"/>
        </w:rPr>
        <w:t xml:space="preserve">einzuwirken. Selbst wenn die Gerichtsentscheidung im Verfahren der einstweiligen Anordnung offen lassen müsste, ob es im Hauptsache-verfahren zur Vertragsanpassung zu Lasten Vorhabenträgers  oder zur </w:t>
      </w:r>
    </w:p>
    <w:p w:rsidR="00B841BE" w:rsidRPr="007230CE" w:rsidRDefault="00E801A0" w:rsidP="00B841BE">
      <w:pPr>
        <w:pStyle w:val="Listenabsatz"/>
        <w:rPr>
          <w:sz w:val="28"/>
        </w:rPr>
      </w:pPr>
      <w:r>
        <w:rPr>
          <w:sz w:val="28"/>
        </w:rPr>
        <w:t xml:space="preserve">Anerkennung des Kündigungsrechts kommen müsste, </w:t>
      </w:r>
      <w:r w:rsidR="00CE2EAB">
        <w:rPr>
          <w:sz w:val="28"/>
        </w:rPr>
        <w:t>würde dies im Interesse der  Rechtssicherhei</w:t>
      </w:r>
      <w:r w:rsidR="003F0A88">
        <w:rPr>
          <w:sz w:val="28"/>
        </w:rPr>
        <w:t xml:space="preserve">t den dringenden gerichtlichen Aufklärungsbedarf </w:t>
      </w:r>
      <w:r w:rsidR="00CE2EAB">
        <w:rPr>
          <w:sz w:val="28"/>
        </w:rPr>
        <w:t xml:space="preserve"> unterstreichen. Die</w:t>
      </w:r>
      <w:r w:rsidR="003F0A88">
        <w:rPr>
          <w:sz w:val="28"/>
        </w:rPr>
        <w:t>se E</w:t>
      </w:r>
      <w:r w:rsidR="00343407">
        <w:rPr>
          <w:sz w:val="28"/>
        </w:rPr>
        <w:t>ntscheidung auf etl</w:t>
      </w:r>
      <w:r w:rsidR="00D76DB1">
        <w:rPr>
          <w:sz w:val="28"/>
        </w:rPr>
        <w:t>iche Jahre hinaus zu unterlassen</w:t>
      </w:r>
      <w:r w:rsidR="00343407">
        <w:rPr>
          <w:sz w:val="28"/>
        </w:rPr>
        <w:t xml:space="preserve"> und zu verschleppen, würde  die Stadt und die Deutsche Bahn AG bei einer nächsten Kostensteigerung einer Zerreißprobe aussetzen, so dass die</w:t>
      </w:r>
      <w:r w:rsidR="003F0A88">
        <w:rPr>
          <w:sz w:val="28"/>
        </w:rPr>
        <w:t xml:space="preserve"> alsbaldige Klärung geboten</w:t>
      </w:r>
      <w:r w:rsidR="00343407">
        <w:rPr>
          <w:sz w:val="28"/>
        </w:rPr>
        <w:t xml:space="preserve"> ist.</w:t>
      </w:r>
      <w:r w:rsidR="00CE2EAB">
        <w:rPr>
          <w:sz w:val="28"/>
        </w:rPr>
        <w:t xml:space="preserve"> </w:t>
      </w:r>
      <w:r w:rsidR="006557D1">
        <w:rPr>
          <w:sz w:val="28"/>
        </w:rPr>
        <w:t xml:space="preserve"> </w:t>
      </w:r>
    </w:p>
    <w:p w:rsidR="007230CE" w:rsidRDefault="007230CE" w:rsidP="007230CE">
      <w:pPr>
        <w:ind w:left="720"/>
        <w:rPr>
          <w:sz w:val="28"/>
        </w:rPr>
      </w:pPr>
      <w:r>
        <w:rPr>
          <w:sz w:val="28"/>
        </w:rPr>
        <w:t xml:space="preserve">Den Antragstellern </w:t>
      </w:r>
      <w:r w:rsidR="00343407">
        <w:rPr>
          <w:sz w:val="28"/>
        </w:rPr>
        <w:t>geht es um den „Warneffekt“ des Verfahrens für die Projektpartner,</w:t>
      </w:r>
      <w:r>
        <w:rPr>
          <w:sz w:val="28"/>
        </w:rPr>
        <w:t xml:space="preserve"> nicht zuletzt </w:t>
      </w:r>
      <w:r w:rsidR="006557D1">
        <w:rPr>
          <w:sz w:val="28"/>
        </w:rPr>
        <w:t xml:space="preserve">für </w:t>
      </w:r>
      <w:r>
        <w:rPr>
          <w:sz w:val="28"/>
        </w:rPr>
        <w:t>die Deutsche Bahn AG und ihren Aufsichtsra</w:t>
      </w:r>
      <w:r w:rsidR="00045215">
        <w:rPr>
          <w:sz w:val="28"/>
        </w:rPr>
        <w:t>t</w:t>
      </w:r>
      <w:r w:rsidR="00343407">
        <w:rPr>
          <w:sz w:val="28"/>
        </w:rPr>
        <w:t>. Es soll sichtbar werden</w:t>
      </w:r>
      <w:r>
        <w:rPr>
          <w:sz w:val="28"/>
        </w:rPr>
        <w:t>,</w:t>
      </w:r>
      <w:r w:rsidR="00045215">
        <w:rPr>
          <w:sz w:val="28"/>
        </w:rPr>
        <w:t xml:space="preserve"> wer für die „neue Lage“ haftet, und dass S 21 als </w:t>
      </w:r>
      <w:r>
        <w:rPr>
          <w:sz w:val="28"/>
        </w:rPr>
        <w:t xml:space="preserve"> Großprojekt nicht mit finanziell und rechtlich ungelösten Fragen </w:t>
      </w:r>
      <w:r w:rsidR="00156467">
        <w:rPr>
          <w:sz w:val="28"/>
        </w:rPr>
        <w:t>nach dem Motto „Augen zu und durch“ betrieben werden sollte.</w:t>
      </w:r>
    </w:p>
    <w:p w:rsidR="00156467" w:rsidRPr="007230CE" w:rsidRDefault="00156467" w:rsidP="007230CE">
      <w:pPr>
        <w:ind w:left="720"/>
        <w:rPr>
          <w:sz w:val="28"/>
        </w:rPr>
      </w:pPr>
    </w:p>
    <w:p w:rsidR="00783A1F" w:rsidRDefault="00783A1F" w:rsidP="00783A1F">
      <w:pPr>
        <w:pStyle w:val="Listenabsatz"/>
        <w:rPr>
          <w:b/>
          <w:sz w:val="28"/>
        </w:rPr>
      </w:pPr>
      <w:r w:rsidRPr="00783A1F">
        <w:rPr>
          <w:b/>
          <w:sz w:val="28"/>
        </w:rPr>
        <w:t xml:space="preserve">                                                        II.</w:t>
      </w:r>
    </w:p>
    <w:p w:rsidR="00783A1F" w:rsidRDefault="00783A1F" w:rsidP="00783A1F">
      <w:pPr>
        <w:pStyle w:val="Listenabsatz"/>
        <w:rPr>
          <w:b/>
          <w:sz w:val="28"/>
        </w:rPr>
      </w:pPr>
      <w:r>
        <w:rPr>
          <w:b/>
          <w:sz w:val="28"/>
        </w:rPr>
        <w:t xml:space="preserve">    </w:t>
      </w:r>
      <w:r w:rsidR="00C2317D">
        <w:rPr>
          <w:b/>
          <w:sz w:val="28"/>
        </w:rPr>
        <w:t xml:space="preserve">                             </w:t>
      </w:r>
      <w:r>
        <w:rPr>
          <w:b/>
          <w:sz w:val="28"/>
        </w:rPr>
        <w:t xml:space="preserve">  Zum </w:t>
      </w:r>
      <w:r w:rsidR="00C2317D">
        <w:rPr>
          <w:b/>
          <w:sz w:val="28"/>
        </w:rPr>
        <w:t xml:space="preserve">weiteren </w:t>
      </w:r>
      <w:r>
        <w:rPr>
          <w:b/>
          <w:sz w:val="28"/>
        </w:rPr>
        <w:t>Sachverhalt</w:t>
      </w:r>
    </w:p>
    <w:p w:rsidR="00712499" w:rsidRDefault="00712499" w:rsidP="00783A1F">
      <w:pPr>
        <w:pStyle w:val="Listenabsatz"/>
        <w:rPr>
          <w:b/>
          <w:sz w:val="28"/>
        </w:rPr>
      </w:pPr>
    </w:p>
    <w:p w:rsidR="00712499" w:rsidRDefault="00712499" w:rsidP="00783A1F">
      <w:pPr>
        <w:pStyle w:val="Listenabsatz"/>
        <w:rPr>
          <w:sz w:val="28"/>
        </w:rPr>
      </w:pPr>
      <w:r w:rsidRPr="00712499">
        <w:rPr>
          <w:sz w:val="28"/>
        </w:rPr>
        <w:t>Dem gestellten</w:t>
      </w:r>
      <w:r>
        <w:rPr>
          <w:sz w:val="28"/>
        </w:rPr>
        <w:t xml:space="preserve"> Antrag auf Erlass einer einstweiligen Anordnung liegt folgender </w:t>
      </w:r>
      <w:r w:rsidR="00C2317D">
        <w:rPr>
          <w:sz w:val="28"/>
        </w:rPr>
        <w:t>weitere</w:t>
      </w:r>
      <w:r w:rsidR="00824696">
        <w:rPr>
          <w:sz w:val="28"/>
        </w:rPr>
        <w:t>r</w:t>
      </w:r>
      <w:r w:rsidR="00C2317D">
        <w:rPr>
          <w:sz w:val="28"/>
        </w:rPr>
        <w:t xml:space="preserve"> </w:t>
      </w:r>
      <w:r>
        <w:rPr>
          <w:sz w:val="28"/>
        </w:rPr>
        <w:t>Sachverhalt zugrunde:</w:t>
      </w:r>
    </w:p>
    <w:p w:rsidR="00712499" w:rsidRDefault="00712499" w:rsidP="00783A1F">
      <w:pPr>
        <w:pStyle w:val="Listenabsatz"/>
        <w:rPr>
          <w:sz w:val="28"/>
        </w:rPr>
      </w:pPr>
    </w:p>
    <w:p w:rsidR="00712499" w:rsidRDefault="00C2317D" w:rsidP="00712499">
      <w:pPr>
        <w:pStyle w:val="Listenabsatz"/>
        <w:numPr>
          <w:ilvl w:val="0"/>
          <w:numId w:val="7"/>
        </w:numPr>
        <w:rPr>
          <w:sz w:val="28"/>
        </w:rPr>
      </w:pPr>
      <w:r>
        <w:rPr>
          <w:sz w:val="28"/>
        </w:rPr>
        <w:t>Der Gemeinderat der Antragsgegnerin hat am 4.10.2007 (GRDrs. 790/2007) dem Abschluss der Ergänzungsvereinbarung zwischen dem Land Baden-Württemberg, der Beklagten und dem Verband Region Stuttgart, in dem die Finanzierungsbeiträge und abzusichernden Risiken der Beteiligten geregelt worden sind, zugestimmt</w:t>
      </w:r>
      <w:r w:rsidR="00E95A52">
        <w:rPr>
          <w:sz w:val="28"/>
        </w:rPr>
        <w:t xml:space="preserve"> und die Verwaltung zum Vertragsabschluss ermächtigt, der am 5.10.2007 erfolgte (siehe auch Urteil des VGH vom</w:t>
      </w:r>
      <w:r w:rsidR="003F0A88">
        <w:rPr>
          <w:sz w:val="28"/>
        </w:rPr>
        <w:t xml:space="preserve"> 21.04</w:t>
      </w:r>
      <w:r w:rsidR="00E95A52">
        <w:rPr>
          <w:sz w:val="28"/>
        </w:rPr>
        <w:t xml:space="preserve">.2015, 1 S </w:t>
      </w:r>
      <w:r w:rsidR="005C6895">
        <w:rPr>
          <w:sz w:val="28"/>
        </w:rPr>
        <w:t>1949/13, Rn 76, juris</w:t>
      </w:r>
      <w:r w:rsidR="00E95A52">
        <w:rPr>
          <w:sz w:val="28"/>
        </w:rPr>
        <w:t>). Das Land Baden-Württemberg hat</w:t>
      </w:r>
      <w:r w:rsidR="00A11EA6">
        <w:rPr>
          <w:sz w:val="28"/>
        </w:rPr>
        <w:t xml:space="preserve"> sodann </w:t>
      </w:r>
      <w:r w:rsidR="00E95A52">
        <w:rPr>
          <w:sz w:val="28"/>
        </w:rPr>
        <w:t xml:space="preserve"> am 2.04.2009 mit </w:t>
      </w:r>
      <w:r w:rsidR="00A11EA6">
        <w:rPr>
          <w:sz w:val="28"/>
        </w:rPr>
        <w:t xml:space="preserve">Vollmacht und </w:t>
      </w:r>
      <w:r w:rsidR="00E95A52">
        <w:rPr>
          <w:sz w:val="28"/>
        </w:rPr>
        <w:t>Wirkung für die Antragsgegnerin den Finanzierungsvertrag der Projektpartner zu S 21 abgeschlossen.</w:t>
      </w:r>
    </w:p>
    <w:p w:rsidR="00E95A52" w:rsidRDefault="00E95A52" w:rsidP="00E95A52">
      <w:pPr>
        <w:rPr>
          <w:sz w:val="28"/>
        </w:rPr>
      </w:pPr>
    </w:p>
    <w:p w:rsidR="00E95A52" w:rsidRDefault="00E95A52" w:rsidP="00E95A52">
      <w:pPr>
        <w:ind w:left="1080"/>
        <w:rPr>
          <w:sz w:val="28"/>
        </w:rPr>
      </w:pPr>
      <w:r>
        <w:rPr>
          <w:sz w:val="28"/>
        </w:rPr>
        <w:t xml:space="preserve">Beweis: </w:t>
      </w:r>
      <w:r w:rsidR="001260A0">
        <w:rPr>
          <w:sz w:val="28"/>
        </w:rPr>
        <w:t>Finanzierungsvertrag, Anlage K 3</w:t>
      </w:r>
    </w:p>
    <w:p w:rsidR="006C2A10" w:rsidRDefault="006C2A10" w:rsidP="00E95A52">
      <w:pPr>
        <w:ind w:left="1080"/>
        <w:rPr>
          <w:sz w:val="28"/>
        </w:rPr>
      </w:pPr>
    </w:p>
    <w:p w:rsidR="006C2A10" w:rsidRDefault="00045215" w:rsidP="00E95A52">
      <w:pPr>
        <w:ind w:left="1080"/>
        <w:rPr>
          <w:sz w:val="28"/>
        </w:rPr>
      </w:pPr>
      <w:r>
        <w:rPr>
          <w:sz w:val="28"/>
        </w:rPr>
        <w:t>Im E</w:t>
      </w:r>
      <w:r w:rsidR="006C2A10">
        <w:rPr>
          <w:sz w:val="28"/>
        </w:rPr>
        <w:t>inzelnen ist daraus hervorzuheben:</w:t>
      </w:r>
    </w:p>
    <w:p w:rsidR="006C2A10" w:rsidRDefault="006C2A10" w:rsidP="00E95A52">
      <w:pPr>
        <w:ind w:left="1080"/>
        <w:rPr>
          <w:sz w:val="28"/>
        </w:rPr>
      </w:pPr>
    </w:p>
    <w:p w:rsidR="004D505B" w:rsidRDefault="004D505B" w:rsidP="006C2A10">
      <w:pPr>
        <w:pStyle w:val="Listenabsatz"/>
        <w:numPr>
          <w:ilvl w:val="0"/>
          <w:numId w:val="8"/>
        </w:numPr>
        <w:rPr>
          <w:sz w:val="28"/>
        </w:rPr>
      </w:pPr>
      <w:r>
        <w:rPr>
          <w:sz w:val="28"/>
        </w:rPr>
        <w:t>Zu den acht Vertragspartnern des FinVe zählt nach Ziffer 2</w:t>
      </w:r>
      <w:r w:rsidR="001260A0">
        <w:rPr>
          <w:sz w:val="28"/>
        </w:rPr>
        <w:t xml:space="preserve"> die Landeshauptstadt Stuttgart. Auch wenn sie</w:t>
      </w:r>
      <w:r>
        <w:rPr>
          <w:sz w:val="28"/>
        </w:rPr>
        <w:t xml:space="preserve"> bei Vertragsschluss durch das Land Ba</w:t>
      </w:r>
      <w:r w:rsidR="001260A0">
        <w:rPr>
          <w:sz w:val="28"/>
        </w:rPr>
        <w:t>den-Württemberg vertreten wurde, hat sie somit originäre vertragliche  Rechte und Pflichten auszuüben.</w:t>
      </w:r>
    </w:p>
    <w:p w:rsidR="0008018F" w:rsidRDefault="0008018F" w:rsidP="006C2A10">
      <w:pPr>
        <w:pStyle w:val="Listenabsatz"/>
        <w:numPr>
          <w:ilvl w:val="0"/>
          <w:numId w:val="8"/>
        </w:numPr>
        <w:rPr>
          <w:sz w:val="28"/>
        </w:rPr>
      </w:pPr>
      <w:r>
        <w:rPr>
          <w:sz w:val="28"/>
        </w:rPr>
        <w:t>In § 2 Absatz 2 FinVe wird für die Deutsche Bahn AG und die EIU festgestellt, es sei im Hinblick auf die Zukunft des Unternehmens „von besonderem Interesse, dass für die DB AG und die EIU aus der Realisierung des Gesamtprojektes keine unkalkulierbaren Risiken entstehen und dass die Wirtschaftlichkeit dargestellt ist“. Könne die Finanzierung der Gesamtkosten bis 31.12.2009 wegen möglicher Mehrkosten außerhalb von § 8 Absatz 3 FinVe (s.unten) nicht sichergestellt werden, „wird das Projekt qualifiziert abge-schlossen“.</w:t>
      </w:r>
    </w:p>
    <w:p w:rsidR="006C2A10" w:rsidRDefault="006C2A10" w:rsidP="006C2A10">
      <w:pPr>
        <w:pStyle w:val="Listenabsatz"/>
        <w:numPr>
          <w:ilvl w:val="0"/>
          <w:numId w:val="8"/>
        </w:numPr>
        <w:rPr>
          <w:sz w:val="28"/>
        </w:rPr>
      </w:pPr>
      <w:r>
        <w:rPr>
          <w:sz w:val="28"/>
        </w:rPr>
        <w:t>Nach § 4 FinVe sind die Eisenbahnin</w:t>
      </w:r>
      <w:r w:rsidR="001260A0">
        <w:rPr>
          <w:sz w:val="28"/>
        </w:rPr>
        <w:t xml:space="preserve">frastrukturunternehmen (EIU) als  Träger des Projektes </w:t>
      </w:r>
      <w:r>
        <w:rPr>
          <w:sz w:val="28"/>
        </w:rPr>
        <w:t xml:space="preserve"> für dessen Planung un</w:t>
      </w:r>
      <w:r w:rsidR="001260A0">
        <w:rPr>
          <w:sz w:val="28"/>
        </w:rPr>
        <w:t>d Ausführung verantwortlich</w:t>
      </w:r>
      <w:r>
        <w:rPr>
          <w:sz w:val="28"/>
        </w:rPr>
        <w:t>.</w:t>
      </w:r>
    </w:p>
    <w:p w:rsidR="006C2A10" w:rsidRPr="007843F6" w:rsidRDefault="006C2A10" w:rsidP="006C2A10">
      <w:pPr>
        <w:pStyle w:val="Listenabsatz"/>
        <w:numPr>
          <w:ilvl w:val="0"/>
          <w:numId w:val="8"/>
        </w:numPr>
        <w:rPr>
          <w:sz w:val="28"/>
          <w:u w:val="single"/>
        </w:rPr>
      </w:pPr>
      <w:r>
        <w:rPr>
          <w:sz w:val="28"/>
        </w:rPr>
        <w:t xml:space="preserve">Die Finanzierung des Projektes wurde nach § 6 unter den Vertragsparteien </w:t>
      </w:r>
      <w:r w:rsidR="004D505B">
        <w:rPr>
          <w:sz w:val="28"/>
        </w:rPr>
        <w:t xml:space="preserve">nach Absatz 1 im Rahmen von </w:t>
      </w:r>
      <w:r w:rsidR="004D505B" w:rsidRPr="007843F6">
        <w:rPr>
          <w:sz w:val="28"/>
          <w:u w:val="single"/>
        </w:rPr>
        <w:t>Gesamtkosten von 3.076,0 Mio. € aufgeteilt.</w:t>
      </w:r>
    </w:p>
    <w:p w:rsidR="004D505B" w:rsidRDefault="001260A0" w:rsidP="006C2A10">
      <w:pPr>
        <w:pStyle w:val="Listenabsatz"/>
        <w:numPr>
          <w:ilvl w:val="0"/>
          <w:numId w:val="8"/>
        </w:numPr>
        <w:rPr>
          <w:sz w:val="28"/>
        </w:rPr>
      </w:pPr>
      <w:r>
        <w:rPr>
          <w:sz w:val="28"/>
        </w:rPr>
        <w:t xml:space="preserve">Von den </w:t>
      </w:r>
      <w:r w:rsidR="004D505B">
        <w:rPr>
          <w:sz w:val="28"/>
        </w:rPr>
        <w:t>Mehrkosten oberhalb der vo</w:t>
      </w:r>
      <w:r>
        <w:rPr>
          <w:sz w:val="28"/>
        </w:rPr>
        <w:t>rstehend genannten „voraussichtlichen Gesamtkosten“ sollen</w:t>
      </w:r>
      <w:r w:rsidR="004D505B">
        <w:rPr>
          <w:sz w:val="28"/>
        </w:rPr>
        <w:t xml:space="preserve"> nach § 8 Absatz 3 FinVe </w:t>
      </w:r>
      <w:r>
        <w:rPr>
          <w:sz w:val="28"/>
        </w:rPr>
        <w:t>die Projektpartner folgende Anteile tragen</w:t>
      </w:r>
      <w:r w:rsidR="00CE60C6">
        <w:rPr>
          <w:sz w:val="28"/>
        </w:rPr>
        <w:t>:</w:t>
      </w:r>
    </w:p>
    <w:p w:rsidR="007843F6" w:rsidRDefault="001260A0" w:rsidP="00CE60C6">
      <w:pPr>
        <w:pStyle w:val="Listenabsatz"/>
        <w:ind w:left="1440"/>
        <w:rPr>
          <w:sz w:val="28"/>
          <w:u w:val="single"/>
        </w:rPr>
      </w:pPr>
      <w:r>
        <w:rPr>
          <w:sz w:val="28"/>
        </w:rPr>
        <w:t xml:space="preserve">Die </w:t>
      </w:r>
      <w:r w:rsidR="00CE60C6">
        <w:rPr>
          <w:sz w:val="28"/>
        </w:rPr>
        <w:t xml:space="preserve"> EIU nach a) 220 Mio. €, nach c) weitere 160 € und nach d) </w:t>
      </w:r>
      <w:r w:rsidR="007843F6">
        <w:rPr>
          <w:sz w:val="28"/>
        </w:rPr>
        <w:t xml:space="preserve">nochmals bis zu 130 Mio. € , zusammen also  510 Mio. €, wogegen auf das Land incl. Stadt und Flughafen nach b) 780 Mio. € und nach e) weitere 160 Mio. €, zusammen also 940 Mio. € entfielen. </w:t>
      </w:r>
      <w:r w:rsidR="007843F6" w:rsidRPr="007843F6">
        <w:rPr>
          <w:sz w:val="28"/>
          <w:u w:val="single"/>
        </w:rPr>
        <w:t>Damit wurde  ein Risikopuffer „unwahrscheinlicher Mehrkosten“  bis zu</w:t>
      </w:r>
      <w:r>
        <w:rPr>
          <w:sz w:val="28"/>
          <w:u w:val="single"/>
        </w:rPr>
        <w:t>r Obergrenze von</w:t>
      </w:r>
      <w:r w:rsidR="007843F6" w:rsidRPr="007843F6">
        <w:rPr>
          <w:sz w:val="28"/>
          <w:u w:val="single"/>
        </w:rPr>
        <w:t xml:space="preserve"> 1450 Mio. €  geregelt. </w:t>
      </w:r>
    </w:p>
    <w:p w:rsidR="007843F6" w:rsidRDefault="007843F6" w:rsidP="007843F6">
      <w:pPr>
        <w:pStyle w:val="Listenabsatz"/>
        <w:numPr>
          <w:ilvl w:val="0"/>
          <w:numId w:val="8"/>
        </w:numPr>
        <w:rPr>
          <w:sz w:val="28"/>
        </w:rPr>
      </w:pPr>
      <w:r w:rsidRPr="007843F6">
        <w:rPr>
          <w:sz w:val="28"/>
        </w:rPr>
        <w:t xml:space="preserve">In § 8 </w:t>
      </w:r>
      <w:r>
        <w:rPr>
          <w:sz w:val="28"/>
        </w:rPr>
        <w:t xml:space="preserve">Absatz 4 FinVe ist </w:t>
      </w:r>
      <w:r w:rsidR="001260A0">
        <w:rPr>
          <w:sz w:val="28"/>
        </w:rPr>
        <w:t xml:space="preserve">darüber hinausgehend </w:t>
      </w:r>
      <w:r>
        <w:rPr>
          <w:sz w:val="28"/>
        </w:rPr>
        <w:t>lediglich festgelegt:</w:t>
      </w:r>
    </w:p>
    <w:p w:rsidR="00CE60C6" w:rsidRDefault="007843F6" w:rsidP="007843F6">
      <w:pPr>
        <w:pStyle w:val="Listenabsatz"/>
        <w:ind w:left="1440"/>
        <w:rPr>
          <w:sz w:val="28"/>
        </w:rPr>
      </w:pPr>
      <w:r>
        <w:rPr>
          <w:sz w:val="28"/>
        </w:rPr>
        <w:t xml:space="preserve">„Im Falle weiterer Kostensteigerungen nehmen die EIU und das Land </w:t>
      </w:r>
      <w:r w:rsidR="00824696">
        <w:rPr>
          <w:sz w:val="28"/>
        </w:rPr>
        <w:t>Gespräche auf. …“ (sog. Sprechklausel)</w:t>
      </w:r>
      <w:r w:rsidRPr="007843F6">
        <w:rPr>
          <w:sz w:val="28"/>
        </w:rPr>
        <w:t xml:space="preserve"> </w:t>
      </w:r>
    </w:p>
    <w:p w:rsidR="00824696" w:rsidRDefault="00824696" w:rsidP="007843F6">
      <w:pPr>
        <w:pStyle w:val="Listenabsatz"/>
        <w:ind w:left="1440"/>
        <w:rPr>
          <w:sz w:val="28"/>
        </w:rPr>
      </w:pPr>
    </w:p>
    <w:p w:rsidR="00824696" w:rsidRDefault="00BA7315" w:rsidP="00824696">
      <w:pPr>
        <w:pStyle w:val="Listenabsatz"/>
        <w:numPr>
          <w:ilvl w:val="0"/>
          <w:numId w:val="7"/>
        </w:numPr>
        <w:rPr>
          <w:sz w:val="28"/>
        </w:rPr>
      </w:pPr>
      <w:r>
        <w:rPr>
          <w:sz w:val="28"/>
        </w:rPr>
        <w:t>Der Vorstand der DB AG hat dessen Aufsichtsrat am 12.Dezember 2012 unterrichtet, dass die</w:t>
      </w:r>
      <w:r w:rsidR="003E4683">
        <w:rPr>
          <w:sz w:val="28"/>
        </w:rPr>
        <w:t xml:space="preserve"> im Finanzierungsvertrag vom 2.04.2009 vereinbarte Kostenobergrenze („Kostendeckel“) von 4,526 Mrd. € um bis zu 2,3 Milliarden Euro überschritten sei.</w:t>
      </w:r>
    </w:p>
    <w:p w:rsidR="003E4683" w:rsidRDefault="003E4683" w:rsidP="003E4683">
      <w:pPr>
        <w:pStyle w:val="Listenabsatz"/>
        <w:ind w:left="1080"/>
        <w:rPr>
          <w:sz w:val="28"/>
        </w:rPr>
      </w:pPr>
      <w:r>
        <w:rPr>
          <w:sz w:val="28"/>
        </w:rPr>
        <w:t>Die Deutsche Bahn AG hat die Einzelheiten in einer Pressekonferenz am 12.12.2012 vorgestellt, die im Internet abrufbar sind.</w:t>
      </w:r>
      <w:r w:rsidR="00F73E6A">
        <w:rPr>
          <w:sz w:val="28"/>
        </w:rPr>
        <w:t xml:space="preserve"> Besonders aufschlussreich ist die vorgelegte Seite 5 der Informationen</w:t>
      </w:r>
      <w:r w:rsidR="00045215">
        <w:rPr>
          <w:sz w:val="28"/>
        </w:rPr>
        <w:t xml:space="preserve"> der DB AG</w:t>
      </w:r>
      <w:r w:rsidR="00F73E6A">
        <w:rPr>
          <w:sz w:val="28"/>
        </w:rPr>
        <w:t>, wo es heißt:</w:t>
      </w:r>
    </w:p>
    <w:p w:rsidR="00F73E6A" w:rsidRDefault="00F73E6A" w:rsidP="003E4683">
      <w:pPr>
        <w:pStyle w:val="Listenabsatz"/>
        <w:ind w:left="1080"/>
        <w:rPr>
          <w:sz w:val="28"/>
        </w:rPr>
      </w:pPr>
    </w:p>
    <w:p w:rsidR="00F73E6A" w:rsidRDefault="00F73E6A" w:rsidP="003E4683">
      <w:pPr>
        <w:pStyle w:val="Listenabsatz"/>
        <w:ind w:left="1080"/>
        <w:rPr>
          <w:sz w:val="28"/>
        </w:rPr>
      </w:pPr>
      <w:r w:rsidRPr="00F73E6A">
        <w:rPr>
          <w:b/>
          <w:sz w:val="28"/>
        </w:rPr>
        <w:t>„Im Rahmen des 6-Punkte-Programms wurde die Kostenkalkulation aus 2009 mit dem heutigen Planungsstand des Projektes verglichen</w:t>
      </w:r>
    </w:p>
    <w:p w:rsidR="00156467" w:rsidRDefault="00156467" w:rsidP="003E4683">
      <w:pPr>
        <w:pStyle w:val="Listenabsatz"/>
        <w:ind w:left="1080"/>
        <w:rPr>
          <w:sz w:val="28"/>
        </w:rPr>
      </w:pPr>
    </w:p>
    <w:p w:rsidR="00F73E6A" w:rsidRPr="00156467" w:rsidRDefault="00595E11" w:rsidP="003E4683">
      <w:pPr>
        <w:pStyle w:val="Listenabsatz"/>
        <w:ind w:left="1080"/>
        <w:rPr>
          <w:b/>
          <w:sz w:val="28"/>
        </w:rPr>
      </w:pPr>
      <w:r w:rsidRPr="00156467">
        <w:rPr>
          <w:b/>
          <w:sz w:val="28"/>
        </w:rPr>
        <w:t>Aufgrund der Planung und Kostenkalkulation aus 2009 wurden im einzelnen „notwendige, aber nicht budgetierte Leistungen“ mit 610 Mio. Euro und „nicht realisierbare Planansätze (Einsparpotentiale)“ mi</w:t>
      </w:r>
      <w:r w:rsidR="00156467">
        <w:rPr>
          <w:b/>
          <w:sz w:val="28"/>
        </w:rPr>
        <w:t xml:space="preserve">t 490 Mio. Euro, zusammen eine </w:t>
      </w:r>
      <w:r w:rsidRPr="00156467">
        <w:rPr>
          <w:b/>
          <w:sz w:val="28"/>
        </w:rPr>
        <w:t>Kalkulationsdifferenz von ins-gesamt 1,1 Mrd. EUR festgestellt</w:t>
      </w:r>
      <w:r w:rsidR="00156467">
        <w:rPr>
          <w:b/>
          <w:sz w:val="28"/>
        </w:rPr>
        <w:t>“.</w:t>
      </w:r>
      <w:r w:rsidRPr="00156467">
        <w:rPr>
          <w:b/>
          <w:sz w:val="28"/>
        </w:rPr>
        <w:tab/>
      </w:r>
      <w:r w:rsidRPr="00156467">
        <w:rPr>
          <w:b/>
          <w:sz w:val="28"/>
        </w:rPr>
        <w:tab/>
      </w:r>
      <w:r w:rsidRPr="00156467">
        <w:rPr>
          <w:b/>
          <w:sz w:val="28"/>
        </w:rPr>
        <w:tab/>
      </w:r>
      <w:r w:rsidRPr="00156467">
        <w:rPr>
          <w:b/>
          <w:sz w:val="28"/>
        </w:rPr>
        <w:tab/>
      </w:r>
      <w:r w:rsidRPr="00156467">
        <w:rPr>
          <w:b/>
          <w:sz w:val="28"/>
        </w:rPr>
        <w:tab/>
      </w:r>
      <w:r w:rsidRPr="00156467">
        <w:rPr>
          <w:b/>
          <w:sz w:val="28"/>
        </w:rPr>
        <w:tab/>
      </w:r>
    </w:p>
    <w:p w:rsidR="00783A1F" w:rsidRDefault="00595E11" w:rsidP="00783A1F">
      <w:pPr>
        <w:pStyle w:val="Listenabsatz"/>
        <w:rPr>
          <w:sz w:val="28"/>
        </w:rPr>
      </w:pPr>
      <w:r w:rsidRPr="00595E11">
        <w:rPr>
          <w:sz w:val="28"/>
        </w:rPr>
        <w:t xml:space="preserve">      Beweis: </w:t>
      </w:r>
      <w:r>
        <w:rPr>
          <w:sz w:val="28"/>
        </w:rPr>
        <w:t>Dokument d</w:t>
      </w:r>
      <w:r w:rsidR="001260A0">
        <w:rPr>
          <w:sz w:val="28"/>
        </w:rPr>
        <w:t>er DB Netze, Seite 5, Anlage K 4</w:t>
      </w:r>
    </w:p>
    <w:p w:rsidR="00595E11" w:rsidRDefault="00595E11" w:rsidP="00783A1F">
      <w:pPr>
        <w:pStyle w:val="Listenabsatz"/>
        <w:rPr>
          <w:sz w:val="28"/>
        </w:rPr>
      </w:pPr>
    </w:p>
    <w:p w:rsidR="00AE6328" w:rsidRDefault="00595E11" w:rsidP="00783A1F">
      <w:pPr>
        <w:pStyle w:val="Listenabsatz"/>
        <w:rPr>
          <w:b/>
          <w:sz w:val="28"/>
        </w:rPr>
      </w:pPr>
      <w:r w:rsidRPr="008A4949">
        <w:rPr>
          <w:b/>
          <w:sz w:val="28"/>
        </w:rPr>
        <w:t xml:space="preserve">      Das stimmt </w:t>
      </w:r>
      <w:r w:rsidR="00AE6328">
        <w:rPr>
          <w:b/>
          <w:sz w:val="28"/>
        </w:rPr>
        <w:t xml:space="preserve">weitgehend </w:t>
      </w:r>
      <w:r w:rsidRPr="008A4949">
        <w:rPr>
          <w:b/>
          <w:sz w:val="28"/>
        </w:rPr>
        <w:t>überein mit d</w:t>
      </w:r>
      <w:r w:rsidR="0018295E" w:rsidRPr="008A4949">
        <w:rPr>
          <w:b/>
          <w:sz w:val="28"/>
        </w:rPr>
        <w:t xml:space="preserve">em </w:t>
      </w:r>
      <w:r w:rsidR="00073814" w:rsidRPr="008A4949">
        <w:rPr>
          <w:b/>
          <w:sz w:val="28"/>
        </w:rPr>
        <w:t>erst im Februar 2013</w:t>
      </w:r>
    </w:p>
    <w:p w:rsidR="00AE6328" w:rsidRDefault="00AE6328" w:rsidP="00AE6328">
      <w:pPr>
        <w:pStyle w:val="Listenabsatz"/>
        <w:rPr>
          <w:b/>
          <w:sz w:val="28"/>
        </w:rPr>
      </w:pPr>
      <w:r>
        <w:rPr>
          <w:b/>
          <w:sz w:val="28"/>
        </w:rPr>
        <w:t xml:space="preserve">     </w:t>
      </w:r>
      <w:r w:rsidR="00073814" w:rsidRPr="008A4949">
        <w:rPr>
          <w:b/>
          <w:sz w:val="28"/>
        </w:rPr>
        <w:t xml:space="preserve"> bekannt </w:t>
      </w:r>
      <w:r w:rsidR="00073814" w:rsidRPr="00AE6328">
        <w:rPr>
          <w:b/>
          <w:sz w:val="28"/>
        </w:rPr>
        <w:t xml:space="preserve">gewordenen </w:t>
      </w:r>
      <w:r w:rsidR="0018295E" w:rsidRPr="00AE6328">
        <w:rPr>
          <w:b/>
          <w:sz w:val="28"/>
        </w:rPr>
        <w:t>Sac</w:t>
      </w:r>
      <w:r w:rsidR="00C823D7" w:rsidRPr="00AE6328">
        <w:rPr>
          <w:b/>
          <w:sz w:val="28"/>
        </w:rPr>
        <w:t>hstands-Bericht der DB AG vom 10. 12.</w:t>
      </w:r>
    </w:p>
    <w:p w:rsidR="00AE6328" w:rsidRPr="00AE6328" w:rsidRDefault="00AE6328" w:rsidP="00AE6328">
      <w:pPr>
        <w:pStyle w:val="Listenabsatz"/>
        <w:rPr>
          <w:b/>
          <w:sz w:val="28"/>
        </w:rPr>
      </w:pPr>
      <w:r>
        <w:rPr>
          <w:b/>
          <w:sz w:val="28"/>
        </w:rPr>
        <w:t xml:space="preserve">      </w:t>
      </w:r>
      <w:r w:rsidR="00C823D7" w:rsidRPr="00AE6328">
        <w:rPr>
          <w:b/>
          <w:sz w:val="28"/>
        </w:rPr>
        <w:t>2009 zu</w:t>
      </w:r>
      <w:r>
        <w:rPr>
          <w:b/>
          <w:sz w:val="28"/>
        </w:rPr>
        <w:t xml:space="preserve"> </w:t>
      </w:r>
      <w:r w:rsidR="00DE33EA" w:rsidRPr="00AE6328">
        <w:rPr>
          <w:b/>
          <w:sz w:val="28"/>
        </w:rPr>
        <w:t xml:space="preserve"> </w:t>
      </w:r>
      <w:r w:rsidR="00C823D7" w:rsidRPr="00AE6328">
        <w:rPr>
          <w:b/>
          <w:sz w:val="28"/>
        </w:rPr>
        <w:t xml:space="preserve">Stuttgart 21 über eine am Tage zuvor stattgefundene </w:t>
      </w:r>
    </w:p>
    <w:p w:rsidR="00AE6328" w:rsidRDefault="00AE6328" w:rsidP="00AE6328">
      <w:pPr>
        <w:pStyle w:val="Listenabsatz"/>
        <w:rPr>
          <w:b/>
          <w:sz w:val="28"/>
        </w:rPr>
      </w:pPr>
      <w:r>
        <w:rPr>
          <w:b/>
          <w:sz w:val="28"/>
        </w:rPr>
        <w:t xml:space="preserve">     </w:t>
      </w:r>
      <w:r w:rsidR="00C823D7" w:rsidRPr="00AE6328">
        <w:rPr>
          <w:b/>
          <w:sz w:val="28"/>
        </w:rPr>
        <w:t xml:space="preserve"> Sitzung des Aufsichtsrats</w:t>
      </w:r>
      <w:r w:rsidR="00073814" w:rsidRPr="00AE6328">
        <w:rPr>
          <w:b/>
          <w:sz w:val="28"/>
        </w:rPr>
        <w:t xml:space="preserve"> der DB AG</w:t>
      </w:r>
      <w:r w:rsidR="00C823D7" w:rsidRPr="00AE6328">
        <w:rPr>
          <w:b/>
          <w:sz w:val="28"/>
        </w:rPr>
        <w:t>, die auf der Seite 5 unrealist</w:t>
      </w:r>
      <w:r>
        <w:rPr>
          <w:b/>
          <w:sz w:val="28"/>
        </w:rPr>
        <w:t>i-</w:t>
      </w:r>
    </w:p>
    <w:p w:rsidR="00AE6328" w:rsidRDefault="00AE6328" w:rsidP="00AE6328">
      <w:pPr>
        <w:pStyle w:val="Listenabsatz"/>
        <w:rPr>
          <w:b/>
          <w:sz w:val="28"/>
        </w:rPr>
      </w:pPr>
      <w:r>
        <w:rPr>
          <w:b/>
          <w:sz w:val="28"/>
        </w:rPr>
        <w:t xml:space="preserve">      </w:t>
      </w:r>
      <w:r w:rsidR="00C823D7" w:rsidRPr="00AE6328">
        <w:rPr>
          <w:b/>
          <w:sz w:val="28"/>
        </w:rPr>
        <w:t>sche Einspar</w:t>
      </w:r>
      <w:r w:rsidR="00077975" w:rsidRPr="00AE6328">
        <w:rPr>
          <w:b/>
          <w:sz w:val="28"/>
        </w:rPr>
        <w:t>p</w:t>
      </w:r>
      <w:r w:rsidR="00C823D7" w:rsidRPr="00AE6328">
        <w:rPr>
          <w:b/>
          <w:sz w:val="28"/>
        </w:rPr>
        <w:t>otentiale aus groben Schätzungen und nicht geneh</w:t>
      </w:r>
      <w:r>
        <w:rPr>
          <w:b/>
          <w:sz w:val="28"/>
        </w:rPr>
        <w:t xml:space="preserve">- </w:t>
      </w:r>
    </w:p>
    <w:p w:rsidR="00AE6328" w:rsidRDefault="00AE6328" w:rsidP="00AE6328">
      <w:pPr>
        <w:pStyle w:val="Listenabsatz"/>
        <w:rPr>
          <w:b/>
          <w:sz w:val="28"/>
        </w:rPr>
      </w:pPr>
      <w:r>
        <w:rPr>
          <w:b/>
          <w:sz w:val="28"/>
        </w:rPr>
        <w:t xml:space="preserve">      </w:t>
      </w:r>
      <w:r w:rsidR="00C823D7" w:rsidRPr="00AE6328">
        <w:rPr>
          <w:b/>
          <w:sz w:val="28"/>
        </w:rPr>
        <w:t>mig</w:t>
      </w:r>
      <w:r>
        <w:rPr>
          <w:b/>
          <w:sz w:val="28"/>
        </w:rPr>
        <w:t>ten planeri</w:t>
      </w:r>
      <w:r w:rsidR="00C823D7" w:rsidRPr="00AE6328">
        <w:rPr>
          <w:b/>
          <w:sz w:val="28"/>
        </w:rPr>
        <w:t xml:space="preserve"> schen Ansätzen </w:t>
      </w:r>
      <w:r w:rsidR="003E12C0" w:rsidRPr="00AE6328">
        <w:rPr>
          <w:b/>
          <w:sz w:val="28"/>
        </w:rPr>
        <w:t xml:space="preserve">von zusammen 891 Mio. Euro </w:t>
      </w:r>
    </w:p>
    <w:p w:rsidR="00AE6328" w:rsidRDefault="00AE6328" w:rsidP="00AE6328">
      <w:pPr>
        <w:pStyle w:val="Listenabsatz"/>
        <w:rPr>
          <w:b/>
          <w:sz w:val="28"/>
        </w:rPr>
      </w:pPr>
      <w:r>
        <w:rPr>
          <w:b/>
          <w:sz w:val="28"/>
        </w:rPr>
        <w:t xml:space="preserve">      </w:t>
      </w:r>
      <w:r w:rsidR="00C823D7" w:rsidRPr="00AE6328">
        <w:rPr>
          <w:b/>
          <w:sz w:val="28"/>
        </w:rPr>
        <w:t>ableitet.</w:t>
      </w:r>
      <w:r w:rsidR="00073814" w:rsidRPr="00AE6328">
        <w:rPr>
          <w:b/>
          <w:sz w:val="28"/>
        </w:rPr>
        <w:t xml:space="preserve"> Darüber</w:t>
      </w:r>
      <w:r w:rsidRPr="00AE6328">
        <w:rPr>
          <w:b/>
          <w:sz w:val="28"/>
        </w:rPr>
        <w:t xml:space="preserve"> berichtete das ARD</w:t>
      </w:r>
      <w:r w:rsidR="00073814" w:rsidRPr="00AE6328">
        <w:rPr>
          <w:b/>
          <w:sz w:val="28"/>
        </w:rPr>
        <w:t xml:space="preserve"> – Magazin</w:t>
      </w:r>
      <w:r w:rsidR="003E12C0" w:rsidRPr="00AE6328">
        <w:rPr>
          <w:b/>
          <w:sz w:val="28"/>
        </w:rPr>
        <w:t xml:space="preserve"> </w:t>
      </w:r>
      <w:r w:rsidR="00073814" w:rsidRPr="00AE6328">
        <w:rPr>
          <w:b/>
          <w:sz w:val="28"/>
        </w:rPr>
        <w:t>MONITOR unter</w:t>
      </w:r>
    </w:p>
    <w:p w:rsidR="00AE6328" w:rsidRDefault="00AE6328" w:rsidP="00AE6328">
      <w:pPr>
        <w:pStyle w:val="Listenabsatz"/>
        <w:rPr>
          <w:b/>
          <w:sz w:val="28"/>
        </w:rPr>
      </w:pPr>
      <w:r>
        <w:rPr>
          <w:b/>
          <w:sz w:val="28"/>
        </w:rPr>
        <w:t xml:space="preserve">      </w:t>
      </w:r>
      <w:r w:rsidR="00073814" w:rsidRPr="00AE6328">
        <w:rPr>
          <w:b/>
          <w:sz w:val="28"/>
        </w:rPr>
        <w:t>Bezugnahme aufein Gutachten im Auftrag des Bahn-Aufsichtsrats</w:t>
      </w:r>
    </w:p>
    <w:p w:rsidR="003E12C0" w:rsidRPr="00AE6328" w:rsidRDefault="00AE6328" w:rsidP="00AE6328">
      <w:pPr>
        <w:pStyle w:val="Listenabsatz"/>
        <w:rPr>
          <w:b/>
          <w:sz w:val="28"/>
        </w:rPr>
      </w:pPr>
      <w:r>
        <w:rPr>
          <w:b/>
          <w:sz w:val="28"/>
        </w:rPr>
        <w:t xml:space="preserve">      am 21. 02.</w:t>
      </w:r>
      <w:r w:rsidR="00DE33EA" w:rsidRPr="00AE6328">
        <w:rPr>
          <w:b/>
          <w:sz w:val="28"/>
        </w:rPr>
        <w:t xml:space="preserve"> 2013</w:t>
      </w:r>
      <w:r w:rsidR="005C6895" w:rsidRPr="00AE6328">
        <w:rPr>
          <w:b/>
          <w:sz w:val="28"/>
        </w:rPr>
        <w:t>. Demzufolge war die</w:t>
      </w:r>
      <w:r w:rsidR="005C6895" w:rsidRPr="00AE6328">
        <w:rPr>
          <w:sz w:val="28"/>
        </w:rPr>
        <w:t xml:space="preserve"> </w:t>
      </w:r>
      <w:r w:rsidR="00743798" w:rsidRPr="00AE6328">
        <w:rPr>
          <w:b/>
          <w:sz w:val="28"/>
        </w:rPr>
        <w:t xml:space="preserve">Kostensteigerung auf 4,9 </w:t>
      </w:r>
      <w:r>
        <w:rPr>
          <w:b/>
          <w:sz w:val="28"/>
        </w:rPr>
        <w:t xml:space="preserve">Mrd. </w:t>
      </w:r>
    </w:p>
    <w:p w:rsidR="003E12C0" w:rsidRDefault="003E12C0" w:rsidP="003E12C0">
      <w:pPr>
        <w:pStyle w:val="Listenabsatz"/>
        <w:rPr>
          <w:b/>
          <w:sz w:val="28"/>
        </w:rPr>
      </w:pPr>
      <w:r>
        <w:rPr>
          <w:b/>
          <w:sz w:val="28"/>
        </w:rPr>
        <w:t xml:space="preserve">    </w:t>
      </w:r>
      <w:r w:rsidR="00AE6328">
        <w:rPr>
          <w:b/>
          <w:sz w:val="28"/>
        </w:rPr>
        <w:t xml:space="preserve"> </w:t>
      </w:r>
      <w:r>
        <w:rPr>
          <w:b/>
          <w:sz w:val="28"/>
        </w:rPr>
        <w:t xml:space="preserve"> </w:t>
      </w:r>
      <w:r w:rsidR="00AE6328">
        <w:rPr>
          <w:b/>
          <w:sz w:val="28"/>
        </w:rPr>
        <w:t xml:space="preserve">Euro </w:t>
      </w:r>
      <w:r w:rsidR="00743798" w:rsidRPr="003E12C0">
        <w:rPr>
          <w:b/>
          <w:sz w:val="28"/>
        </w:rPr>
        <w:t xml:space="preserve"> schon 2009 „implizi</w:t>
      </w:r>
      <w:r>
        <w:rPr>
          <w:b/>
          <w:sz w:val="28"/>
        </w:rPr>
        <w:t xml:space="preserve">t </w:t>
      </w:r>
      <w:r w:rsidR="00743798" w:rsidRPr="003E12C0">
        <w:rPr>
          <w:b/>
          <w:sz w:val="28"/>
        </w:rPr>
        <w:t xml:space="preserve"> Beschlussgegenstand in den Gremien des</w:t>
      </w:r>
    </w:p>
    <w:p w:rsidR="00743798" w:rsidRPr="003E12C0" w:rsidRDefault="003E12C0" w:rsidP="003E12C0">
      <w:pPr>
        <w:pStyle w:val="Listenabsatz"/>
        <w:rPr>
          <w:b/>
          <w:sz w:val="28"/>
        </w:rPr>
      </w:pPr>
      <w:r>
        <w:rPr>
          <w:b/>
          <w:sz w:val="28"/>
        </w:rPr>
        <w:t xml:space="preserve">  </w:t>
      </w:r>
      <w:r w:rsidR="00743798" w:rsidRPr="003E12C0">
        <w:rPr>
          <w:b/>
          <w:sz w:val="28"/>
        </w:rPr>
        <w:t xml:space="preserve"> </w:t>
      </w:r>
      <w:r>
        <w:rPr>
          <w:b/>
          <w:sz w:val="28"/>
        </w:rPr>
        <w:t xml:space="preserve">   </w:t>
      </w:r>
      <w:r w:rsidR="00743798" w:rsidRPr="003E12C0">
        <w:rPr>
          <w:b/>
          <w:sz w:val="28"/>
        </w:rPr>
        <w:t>DB</w:t>
      </w:r>
      <w:r>
        <w:rPr>
          <w:b/>
          <w:sz w:val="28"/>
        </w:rPr>
        <w:t xml:space="preserve"> </w:t>
      </w:r>
      <w:r w:rsidR="00743798" w:rsidRPr="003E12C0">
        <w:rPr>
          <w:b/>
          <w:sz w:val="28"/>
        </w:rPr>
        <w:t>AG-Konzerns“.</w:t>
      </w:r>
    </w:p>
    <w:p w:rsidR="00C823D7" w:rsidRDefault="00C823D7" w:rsidP="00783A1F">
      <w:pPr>
        <w:pStyle w:val="Listenabsatz"/>
        <w:rPr>
          <w:sz w:val="28"/>
        </w:rPr>
      </w:pPr>
    </w:p>
    <w:p w:rsidR="00C823D7" w:rsidRDefault="00C823D7" w:rsidP="00783A1F">
      <w:pPr>
        <w:pStyle w:val="Listenabsatz"/>
        <w:rPr>
          <w:sz w:val="28"/>
        </w:rPr>
      </w:pPr>
      <w:r>
        <w:rPr>
          <w:sz w:val="28"/>
        </w:rPr>
        <w:t xml:space="preserve">      Beweis: Vorlage des DB-Doku</w:t>
      </w:r>
      <w:r w:rsidR="00156467">
        <w:rPr>
          <w:sz w:val="28"/>
        </w:rPr>
        <w:t>ments vom 1</w:t>
      </w:r>
      <w:r w:rsidR="00073814">
        <w:rPr>
          <w:sz w:val="28"/>
        </w:rPr>
        <w:t>0.12.2009,</w:t>
      </w:r>
      <w:r w:rsidR="00AE6328">
        <w:rPr>
          <w:sz w:val="28"/>
        </w:rPr>
        <w:t xml:space="preserve"> S. 5, </w:t>
      </w:r>
      <w:r w:rsidR="00073814">
        <w:rPr>
          <w:sz w:val="28"/>
        </w:rPr>
        <w:t xml:space="preserve"> Anlage K 5,</w:t>
      </w:r>
    </w:p>
    <w:p w:rsidR="00073814" w:rsidRDefault="00073814" w:rsidP="00783A1F">
      <w:pPr>
        <w:pStyle w:val="Listenabsatz"/>
        <w:rPr>
          <w:sz w:val="28"/>
        </w:rPr>
      </w:pPr>
      <w:r>
        <w:rPr>
          <w:sz w:val="28"/>
        </w:rPr>
        <w:t xml:space="preserve">      Bericht des ARD-Magazins MONITOR vom 21.02.2013, Anlage K 6,</w:t>
      </w:r>
    </w:p>
    <w:p w:rsidR="00073814" w:rsidRDefault="00073814" w:rsidP="00783A1F">
      <w:pPr>
        <w:pStyle w:val="Listenabsatz"/>
        <w:rPr>
          <w:sz w:val="28"/>
        </w:rPr>
      </w:pPr>
      <w:r>
        <w:rPr>
          <w:sz w:val="28"/>
        </w:rPr>
        <w:t xml:space="preserve">      Auszug aus dem </w:t>
      </w:r>
      <w:r w:rsidR="003531BE">
        <w:rPr>
          <w:sz w:val="28"/>
        </w:rPr>
        <w:t>„Vermerk (Zwischenergebnis)“ der PwC – Plausibi-</w:t>
      </w:r>
    </w:p>
    <w:p w:rsidR="003531BE" w:rsidRDefault="009F15FE" w:rsidP="00783A1F">
      <w:pPr>
        <w:pStyle w:val="Listenabsatz"/>
        <w:rPr>
          <w:sz w:val="28"/>
        </w:rPr>
      </w:pPr>
      <w:r>
        <w:rPr>
          <w:sz w:val="28"/>
        </w:rPr>
        <w:t xml:space="preserve">      l</w:t>
      </w:r>
      <w:r w:rsidR="003531BE">
        <w:rPr>
          <w:sz w:val="28"/>
        </w:rPr>
        <w:t>itätsbegutachtung im Auftrag des Bahn-Aufsichtsrats, Rand-</w:t>
      </w:r>
    </w:p>
    <w:p w:rsidR="003531BE" w:rsidRDefault="003531BE" w:rsidP="00783A1F">
      <w:pPr>
        <w:pStyle w:val="Listenabsatz"/>
        <w:rPr>
          <w:sz w:val="28"/>
        </w:rPr>
      </w:pPr>
      <w:r>
        <w:rPr>
          <w:sz w:val="28"/>
        </w:rPr>
        <w:t xml:space="preserve">      Nummern 153 bis 156 (Seite 1-15, S. 46 f.</w:t>
      </w:r>
      <w:r w:rsidR="00AE6328">
        <w:rPr>
          <w:sz w:val="28"/>
        </w:rPr>
        <w:t>)</w:t>
      </w:r>
      <w:r>
        <w:rPr>
          <w:sz w:val="28"/>
        </w:rPr>
        <w:t>, Anlage K 7</w:t>
      </w:r>
    </w:p>
    <w:p w:rsidR="00C823D7" w:rsidRPr="00743798" w:rsidRDefault="00C823D7" w:rsidP="00743798">
      <w:pPr>
        <w:rPr>
          <w:sz w:val="28"/>
        </w:rPr>
      </w:pPr>
      <w:r w:rsidRPr="00743798">
        <w:rPr>
          <w:sz w:val="28"/>
        </w:rPr>
        <w:t xml:space="preserve"> </w:t>
      </w:r>
    </w:p>
    <w:p w:rsidR="00743798" w:rsidRDefault="00C823D7" w:rsidP="00783A1F">
      <w:pPr>
        <w:pStyle w:val="Listenabsatz"/>
        <w:rPr>
          <w:sz w:val="28"/>
        </w:rPr>
      </w:pPr>
      <w:r>
        <w:rPr>
          <w:sz w:val="28"/>
        </w:rPr>
        <w:t xml:space="preserve">      </w:t>
      </w:r>
      <w:r w:rsidR="00743798">
        <w:rPr>
          <w:sz w:val="28"/>
        </w:rPr>
        <w:t>Der damalige Projektleiters Hany Azer hatte diese Gesamtkosten des</w:t>
      </w:r>
    </w:p>
    <w:p w:rsidR="00DB2F79" w:rsidRPr="00743798" w:rsidRDefault="00743798" w:rsidP="00743798">
      <w:pPr>
        <w:pStyle w:val="Listenabsatz"/>
        <w:rPr>
          <w:sz w:val="28"/>
        </w:rPr>
      </w:pPr>
      <w:r>
        <w:rPr>
          <w:sz w:val="28"/>
        </w:rPr>
        <w:t xml:space="preserve">      Projekts </w:t>
      </w:r>
      <w:r w:rsidR="00C823D7">
        <w:rPr>
          <w:sz w:val="28"/>
        </w:rPr>
        <w:t xml:space="preserve"> </w:t>
      </w:r>
      <w:r w:rsidR="00DB2F79">
        <w:rPr>
          <w:sz w:val="28"/>
        </w:rPr>
        <w:t>aufgrund eines ihm vom</w:t>
      </w:r>
      <w:r>
        <w:rPr>
          <w:sz w:val="28"/>
        </w:rPr>
        <w:t xml:space="preserve"> </w:t>
      </w:r>
      <w:r w:rsidR="00DB2F79" w:rsidRPr="00743798">
        <w:rPr>
          <w:sz w:val="28"/>
        </w:rPr>
        <w:t>V</w:t>
      </w:r>
      <w:r w:rsidRPr="00743798">
        <w:rPr>
          <w:sz w:val="28"/>
        </w:rPr>
        <w:t>orstandsvorsitzenden Dr.</w:t>
      </w:r>
      <w:r>
        <w:rPr>
          <w:sz w:val="28"/>
        </w:rPr>
        <w:t xml:space="preserve"> Grube </w:t>
      </w:r>
      <w:r w:rsidR="00DB2F79" w:rsidRPr="00743798">
        <w:rPr>
          <w:sz w:val="28"/>
        </w:rPr>
        <w:t xml:space="preserve"> </w:t>
      </w:r>
    </w:p>
    <w:p w:rsidR="00DB2F79" w:rsidRDefault="00DB2F79" w:rsidP="00783A1F">
      <w:pPr>
        <w:pStyle w:val="Listenabsatz"/>
        <w:rPr>
          <w:sz w:val="28"/>
        </w:rPr>
      </w:pPr>
      <w:r>
        <w:rPr>
          <w:sz w:val="28"/>
        </w:rPr>
        <w:t xml:space="preserve">    </w:t>
      </w:r>
      <w:r w:rsidR="00743798">
        <w:rPr>
          <w:sz w:val="28"/>
        </w:rPr>
        <w:t xml:space="preserve">  erteilten Auftrags zur </w:t>
      </w:r>
      <w:r>
        <w:rPr>
          <w:sz w:val="28"/>
        </w:rPr>
        <w:t>Kostenprü</w:t>
      </w:r>
      <w:r w:rsidR="00743798">
        <w:rPr>
          <w:sz w:val="28"/>
        </w:rPr>
        <w:t xml:space="preserve">fung </w:t>
      </w:r>
      <w:r>
        <w:rPr>
          <w:sz w:val="28"/>
        </w:rPr>
        <w:t xml:space="preserve"> ermittelt</w:t>
      </w:r>
      <w:r w:rsidR="00743798">
        <w:rPr>
          <w:sz w:val="28"/>
        </w:rPr>
        <w:t xml:space="preserve">. Das Ergebnis war aber </w:t>
      </w:r>
      <w:r>
        <w:rPr>
          <w:sz w:val="28"/>
        </w:rPr>
        <w:t xml:space="preserve"> </w:t>
      </w:r>
    </w:p>
    <w:p w:rsidR="00743798" w:rsidRDefault="00DB2F79" w:rsidP="00783A1F">
      <w:pPr>
        <w:pStyle w:val="Listenabsatz"/>
        <w:rPr>
          <w:sz w:val="28"/>
        </w:rPr>
      </w:pPr>
      <w:r>
        <w:rPr>
          <w:sz w:val="28"/>
        </w:rPr>
        <w:t xml:space="preserve">      </w:t>
      </w:r>
      <w:r w:rsidR="00743798">
        <w:rPr>
          <w:sz w:val="28"/>
        </w:rPr>
        <w:t>politisch unerwünscht und wurde deshalb um „Einsparpotentiale“</w:t>
      </w:r>
    </w:p>
    <w:p w:rsidR="00C022F3" w:rsidRPr="00743798" w:rsidRDefault="00743798" w:rsidP="00743798">
      <w:pPr>
        <w:pStyle w:val="Listenabsatz"/>
        <w:rPr>
          <w:sz w:val="28"/>
        </w:rPr>
      </w:pPr>
      <w:r>
        <w:rPr>
          <w:sz w:val="28"/>
        </w:rPr>
        <w:t xml:space="preserve">      von 891 Millionen Euro heruntergerechnet auf 4,088 Mrd. Euro.   </w:t>
      </w:r>
    </w:p>
    <w:p w:rsidR="00C022F3" w:rsidRDefault="00C022F3" w:rsidP="00783A1F">
      <w:pPr>
        <w:pStyle w:val="Listenabsatz"/>
        <w:rPr>
          <w:sz w:val="28"/>
        </w:rPr>
      </w:pPr>
    </w:p>
    <w:p w:rsidR="008000EF" w:rsidRDefault="00C022F3" w:rsidP="00783A1F">
      <w:pPr>
        <w:pStyle w:val="Listenabsatz"/>
        <w:rPr>
          <w:sz w:val="28"/>
        </w:rPr>
      </w:pPr>
      <w:r>
        <w:rPr>
          <w:sz w:val="28"/>
        </w:rPr>
        <w:t xml:space="preserve">      Die  DB AG hat</w:t>
      </w:r>
      <w:r w:rsidR="003531BE">
        <w:rPr>
          <w:sz w:val="28"/>
        </w:rPr>
        <w:t xml:space="preserve"> der Antragsgegnerin </w:t>
      </w:r>
      <w:r w:rsidR="008000EF">
        <w:rPr>
          <w:sz w:val="28"/>
        </w:rPr>
        <w:t>und  den Projektpartnern ins-</w:t>
      </w:r>
    </w:p>
    <w:p w:rsidR="008000EF" w:rsidRDefault="009F15FE" w:rsidP="008000EF">
      <w:pPr>
        <w:pStyle w:val="Listenabsatz"/>
        <w:rPr>
          <w:sz w:val="28"/>
        </w:rPr>
      </w:pPr>
      <w:r>
        <w:rPr>
          <w:sz w:val="28"/>
        </w:rPr>
        <w:t xml:space="preserve">      g</w:t>
      </w:r>
      <w:r w:rsidR="008000EF">
        <w:rPr>
          <w:sz w:val="28"/>
        </w:rPr>
        <w:t xml:space="preserve">esamt die </w:t>
      </w:r>
      <w:r w:rsidR="00C022F3">
        <w:rPr>
          <w:sz w:val="28"/>
        </w:rPr>
        <w:t xml:space="preserve"> „Kalkulationsdifferenz“ von </w:t>
      </w:r>
      <w:r w:rsidR="00C022F3" w:rsidRPr="008000EF">
        <w:rPr>
          <w:sz w:val="28"/>
        </w:rPr>
        <w:t xml:space="preserve">1,1 Milliarden Euro seit 2009 </w:t>
      </w:r>
    </w:p>
    <w:p w:rsidR="004C745E" w:rsidRDefault="008000EF" w:rsidP="008000EF">
      <w:pPr>
        <w:pStyle w:val="Listenabsatz"/>
        <w:rPr>
          <w:sz w:val="28"/>
        </w:rPr>
      </w:pPr>
      <w:r>
        <w:rPr>
          <w:sz w:val="28"/>
        </w:rPr>
        <w:t xml:space="preserve">      </w:t>
      </w:r>
      <w:r w:rsidR="00C022F3" w:rsidRPr="008000EF">
        <w:rPr>
          <w:sz w:val="28"/>
        </w:rPr>
        <w:t>nicht offe</w:t>
      </w:r>
      <w:r w:rsidR="004C745E" w:rsidRPr="008000EF">
        <w:rPr>
          <w:sz w:val="28"/>
        </w:rPr>
        <w:t>n gelegt und jedenfalls insoweit s</w:t>
      </w:r>
      <w:r>
        <w:rPr>
          <w:sz w:val="28"/>
        </w:rPr>
        <w:t>chwere Fehler einge-</w:t>
      </w:r>
    </w:p>
    <w:p w:rsidR="008000EF" w:rsidRDefault="008000EF" w:rsidP="008000EF">
      <w:pPr>
        <w:pStyle w:val="Listenabsatz"/>
        <w:rPr>
          <w:sz w:val="28"/>
        </w:rPr>
      </w:pPr>
      <w:r>
        <w:rPr>
          <w:sz w:val="28"/>
        </w:rPr>
        <w:t xml:space="preserve">      standen, wie deren vorgelegte Dokumentation vom 12.12.2012 </w:t>
      </w:r>
    </w:p>
    <w:p w:rsidR="008000EF" w:rsidRPr="008000EF" w:rsidRDefault="008000EF" w:rsidP="008000EF">
      <w:pPr>
        <w:pStyle w:val="Listenabsatz"/>
        <w:rPr>
          <w:sz w:val="28"/>
        </w:rPr>
      </w:pPr>
      <w:r>
        <w:rPr>
          <w:sz w:val="28"/>
        </w:rPr>
        <w:t xml:space="preserve">      bestätigt.</w:t>
      </w:r>
    </w:p>
    <w:p w:rsidR="004C745E" w:rsidRDefault="004C745E" w:rsidP="00783A1F">
      <w:pPr>
        <w:pStyle w:val="Listenabsatz"/>
        <w:rPr>
          <w:sz w:val="28"/>
        </w:rPr>
      </w:pPr>
    </w:p>
    <w:p w:rsidR="004C745E" w:rsidRDefault="004C745E" w:rsidP="004C745E">
      <w:pPr>
        <w:pStyle w:val="Listenabsatz"/>
        <w:numPr>
          <w:ilvl w:val="0"/>
          <w:numId w:val="7"/>
        </w:numPr>
        <w:rPr>
          <w:sz w:val="28"/>
        </w:rPr>
      </w:pPr>
      <w:r>
        <w:rPr>
          <w:sz w:val="28"/>
        </w:rPr>
        <w:t xml:space="preserve">Der Aufsichtsrat der DB AG ist dem Antrag des Vorstands, die gewaltige Überschreitung des vertraglichen Kostenrahmens billigend zur Kenntnis zu nehmen, in der Sitzung vom 12.12.2012 nicht gefolgt. Infolge enormen politischen Drucks aus dem Kanzleramt und der damaligen Regierungskoalition (siehe die Berichte in der StZ </w:t>
      </w:r>
      <w:r w:rsidR="00F652FA">
        <w:rPr>
          <w:sz w:val="28"/>
        </w:rPr>
        <w:t xml:space="preserve">, S. 1,3,21 </w:t>
      </w:r>
      <w:r>
        <w:rPr>
          <w:sz w:val="28"/>
        </w:rPr>
        <w:t xml:space="preserve">vom </w:t>
      </w:r>
      <w:r w:rsidR="00F652FA">
        <w:rPr>
          <w:sz w:val="28"/>
        </w:rPr>
        <w:t>2.07.2015 über offen gelegte Vermerke aus dem Kanzleramt) hat sich der Aufsichtsrat der DB AG am 5.03.2013 für den Weiterbau von Stuttgart 21 trotz festgestellter Unwirtschaftlichkeit des Projekts entschieden.</w:t>
      </w:r>
      <w:r w:rsidR="00156467">
        <w:rPr>
          <w:sz w:val="28"/>
        </w:rPr>
        <w:t xml:space="preserve"> In Ziffer 1 des Beschlusses heißt es:</w:t>
      </w:r>
    </w:p>
    <w:p w:rsidR="00156467" w:rsidRDefault="00156467" w:rsidP="00156467">
      <w:pPr>
        <w:pStyle w:val="Listenabsatz"/>
        <w:ind w:left="1080"/>
        <w:rPr>
          <w:sz w:val="28"/>
        </w:rPr>
      </w:pPr>
    </w:p>
    <w:p w:rsidR="00156467" w:rsidRDefault="00156467" w:rsidP="00156467">
      <w:pPr>
        <w:pStyle w:val="Listenabsatz"/>
        <w:ind w:left="1080"/>
        <w:rPr>
          <w:i/>
          <w:sz w:val="28"/>
        </w:rPr>
      </w:pPr>
      <w:r w:rsidRPr="00A72BEE">
        <w:rPr>
          <w:i/>
          <w:sz w:val="28"/>
        </w:rPr>
        <w:t xml:space="preserve">„Der Aufsichtsrat nimmt zur Kenntnis, dass der Vorstand mit Schreiben vom 15. Februar 2013 Gespräche zur Finanzierung aller Mehrkosten oberhalb des Finanzierungsrahmens von 4.526Mio. EUR </w:t>
      </w:r>
      <w:r w:rsidR="00A72BEE" w:rsidRPr="00A72BEE">
        <w:rPr>
          <w:i/>
          <w:sz w:val="28"/>
        </w:rPr>
        <w:t>gegenüber den Projektpartnern auf der Grundlage der sog. Sprechklausel der Finanzierungsvereinbarung eingefordert hat, auf dieser Grundlage verhandelt und für den Fall des Scheit</w:t>
      </w:r>
      <w:r w:rsidR="00045215">
        <w:rPr>
          <w:i/>
          <w:sz w:val="28"/>
        </w:rPr>
        <w:t>erns der V</w:t>
      </w:r>
      <w:r w:rsidR="00A72BEE" w:rsidRPr="00A72BEE">
        <w:rPr>
          <w:i/>
          <w:sz w:val="28"/>
        </w:rPr>
        <w:t>erhandlungen die jeweils einklagbaren Ansprüche unverzüglich gerichtlich geltend machen wird.“</w:t>
      </w:r>
    </w:p>
    <w:p w:rsidR="00A72BEE" w:rsidRDefault="00A72BEE" w:rsidP="00156467">
      <w:pPr>
        <w:pStyle w:val="Listenabsatz"/>
        <w:ind w:left="1080"/>
        <w:rPr>
          <w:i/>
          <w:sz w:val="28"/>
        </w:rPr>
      </w:pPr>
    </w:p>
    <w:p w:rsidR="00A72BEE" w:rsidRPr="00A72BEE" w:rsidRDefault="00A72BEE" w:rsidP="00156467">
      <w:pPr>
        <w:pStyle w:val="Listenabsatz"/>
        <w:ind w:left="1080"/>
        <w:rPr>
          <w:sz w:val="28"/>
        </w:rPr>
      </w:pPr>
      <w:r>
        <w:rPr>
          <w:sz w:val="28"/>
        </w:rPr>
        <w:t>Der Aufsichtsrat hat nach Ziffer 3 des Beschlusses einer Erhöhung des Finanzierungsrahmens um zwei Milliarden Euro „zur Abdeckung aller bis heute bekannten Risiken“ zugestimmt.</w:t>
      </w:r>
    </w:p>
    <w:p w:rsidR="00F652FA" w:rsidRDefault="00F652FA" w:rsidP="00F652FA">
      <w:pPr>
        <w:rPr>
          <w:sz w:val="28"/>
        </w:rPr>
      </w:pPr>
    </w:p>
    <w:p w:rsidR="00F652FA" w:rsidRDefault="00F652FA" w:rsidP="00F652FA">
      <w:pPr>
        <w:ind w:left="1080"/>
        <w:rPr>
          <w:sz w:val="28"/>
        </w:rPr>
      </w:pPr>
      <w:r>
        <w:rPr>
          <w:sz w:val="28"/>
        </w:rPr>
        <w:t>Beweis: Beschlu</w:t>
      </w:r>
      <w:r w:rsidR="00156467">
        <w:rPr>
          <w:sz w:val="28"/>
        </w:rPr>
        <w:t>ss des Aufsichtsrats, Anlage K 8</w:t>
      </w:r>
    </w:p>
    <w:p w:rsidR="00A72BEE" w:rsidRDefault="00A72BEE" w:rsidP="00F652FA">
      <w:pPr>
        <w:ind w:left="1080"/>
        <w:rPr>
          <w:sz w:val="28"/>
        </w:rPr>
      </w:pPr>
    </w:p>
    <w:p w:rsidR="00F652FA" w:rsidRDefault="00A72BEE" w:rsidP="00DD6307">
      <w:pPr>
        <w:pStyle w:val="Listenabsatz"/>
        <w:numPr>
          <w:ilvl w:val="0"/>
          <w:numId w:val="7"/>
        </w:numPr>
        <w:rPr>
          <w:sz w:val="28"/>
        </w:rPr>
      </w:pPr>
      <w:r w:rsidRPr="00DD6307">
        <w:rPr>
          <w:sz w:val="28"/>
        </w:rPr>
        <w:t>Zu einer neuen Finanzierungsvereinbarung, die den Finanzierungs-vertrag der Projektpartner vom 2.04.2009 ersetzt oder ergänzt, ist es bisher</w:t>
      </w:r>
      <w:r w:rsidR="009F15FE" w:rsidRPr="00DD6307">
        <w:rPr>
          <w:sz w:val="28"/>
        </w:rPr>
        <w:t xml:space="preserve"> aber</w:t>
      </w:r>
      <w:r w:rsidRPr="00DD6307">
        <w:rPr>
          <w:sz w:val="28"/>
        </w:rPr>
        <w:t xml:space="preserve"> nicht gekommen. Zur rechtlichen Einschätzung dieser Lage übergebe ich das Kurzgutachten </w:t>
      </w:r>
      <w:r w:rsidRPr="00DD6307">
        <w:rPr>
          <w:sz w:val="28"/>
          <w:u w:val="single"/>
        </w:rPr>
        <w:t>„Das Rätsel der Sprechklausel</w:t>
      </w:r>
      <w:r w:rsidRPr="00DD6307">
        <w:rPr>
          <w:sz w:val="28"/>
        </w:rPr>
        <w:t>“ der Juristen zu S 2</w:t>
      </w:r>
      <w:r w:rsidR="003E12C0" w:rsidRPr="00DD6307">
        <w:rPr>
          <w:sz w:val="28"/>
        </w:rPr>
        <w:t>1</w:t>
      </w:r>
      <w:r w:rsidR="008000EF" w:rsidRPr="00DD6307">
        <w:rPr>
          <w:sz w:val="28"/>
        </w:rPr>
        <w:t xml:space="preserve">. Hiernach ist die Deutsche Bahn seit der den Vertrags-Rahmen überschreitenden Kostensteigerung zum Weiterbau von S 21 </w:t>
      </w:r>
      <w:r w:rsidR="00474E01" w:rsidRPr="00DD6307">
        <w:rPr>
          <w:sz w:val="28"/>
        </w:rPr>
        <w:t>w</w:t>
      </w:r>
      <w:r w:rsidR="008000EF" w:rsidRPr="00DD6307">
        <w:rPr>
          <w:sz w:val="28"/>
        </w:rPr>
        <w:t>e</w:t>
      </w:r>
      <w:r w:rsidR="009F15FE" w:rsidRPr="00DD6307">
        <w:rPr>
          <w:sz w:val="28"/>
        </w:rPr>
        <w:t xml:space="preserve">der verpflichtet noch ohne neue </w:t>
      </w:r>
      <w:r w:rsidR="00474E01" w:rsidRPr="00DD6307">
        <w:rPr>
          <w:sz w:val="28"/>
        </w:rPr>
        <w:t>Finanzierungsverein</w:t>
      </w:r>
      <w:r w:rsidR="009F15FE" w:rsidRPr="00DD6307">
        <w:rPr>
          <w:sz w:val="28"/>
        </w:rPr>
        <w:t>-</w:t>
      </w:r>
      <w:r w:rsidR="00474E01" w:rsidRPr="00DD6307">
        <w:rPr>
          <w:sz w:val="28"/>
        </w:rPr>
        <w:t>barung gegen</w:t>
      </w:r>
      <w:r w:rsidR="008000EF" w:rsidRPr="00DD6307">
        <w:rPr>
          <w:sz w:val="28"/>
        </w:rPr>
        <w:t>über den Projektpartnern berechtigt</w:t>
      </w:r>
      <w:r w:rsidR="00514F3A" w:rsidRPr="00DD6307">
        <w:rPr>
          <w:sz w:val="28"/>
        </w:rPr>
        <w:t>.</w:t>
      </w:r>
      <w:r w:rsidR="00D4089C" w:rsidRPr="00DD6307">
        <w:rPr>
          <w:sz w:val="28"/>
        </w:rPr>
        <w:t xml:space="preserve"> Die bei Über-schreitung des Kostenrahmens geltende vielsagende „Sprechklausel“ des § 8 Absatz 4 FinVe verpflichtet hiernach keine Partei zu etwas Konkretem, insbesondere nicht zu finanziellen Zusagen. Das führt zu bei fehlender Einigung der Vertragsparteien </w:t>
      </w:r>
      <w:r w:rsidR="00DD6307" w:rsidRPr="00DD6307">
        <w:rPr>
          <w:sz w:val="28"/>
        </w:rPr>
        <w:t xml:space="preserve">über die gemeinsame Finanzierung des Projekts zu </w:t>
      </w:r>
      <w:r w:rsidR="00D4089C" w:rsidRPr="00DD6307">
        <w:rPr>
          <w:sz w:val="28"/>
        </w:rPr>
        <w:t xml:space="preserve">folgendem Ergebnis (S. 3  </w:t>
      </w:r>
      <w:r w:rsidR="00DD6307" w:rsidRPr="00DD6307">
        <w:rPr>
          <w:sz w:val="28"/>
        </w:rPr>
        <w:t>G</w:t>
      </w:r>
      <w:r w:rsidR="00D4089C" w:rsidRPr="00DD6307">
        <w:rPr>
          <w:sz w:val="28"/>
        </w:rPr>
        <w:t>utachtens):</w:t>
      </w:r>
    </w:p>
    <w:p w:rsidR="00DD6307" w:rsidRPr="00DD6307" w:rsidRDefault="00DD6307" w:rsidP="00DD6307">
      <w:pPr>
        <w:pStyle w:val="Listenabsatz"/>
        <w:ind w:left="1080"/>
        <w:rPr>
          <w:sz w:val="28"/>
        </w:rPr>
      </w:pPr>
    </w:p>
    <w:p w:rsidR="00D4089C" w:rsidRPr="00DD6307" w:rsidRDefault="00D4089C" w:rsidP="009F15FE">
      <w:pPr>
        <w:ind w:left="1080"/>
        <w:rPr>
          <w:i/>
          <w:sz w:val="28"/>
          <w:u w:val="single"/>
        </w:rPr>
      </w:pPr>
      <w:r w:rsidRPr="00DD6307">
        <w:rPr>
          <w:i/>
          <w:sz w:val="28"/>
          <w:u w:val="single"/>
        </w:rPr>
        <w:t xml:space="preserve">„Wenn </w:t>
      </w:r>
      <w:r w:rsidR="00DD6307" w:rsidRPr="00DD6307">
        <w:rPr>
          <w:i/>
          <w:sz w:val="28"/>
          <w:u w:val="single"/>
        </w:rPr>
        <w:t>die öffentliche Hand dennoch von der Deutschen Bahn die Fertigstellung fordern würde, kann jene darauf verweisen, dass die finanziellen Mittel dazu nicht ausreichen, um fertig zu werden, und die Errichtung einer Bauruine von ihr nicht verlangt werden kann.“</w:t>
      </w:r>
    </w:p>
    <w:p w:rsidR="00DD6307" w:rsidRDefault="00DD6307" w:rsidP="009F15FE">
      <w:pPr>
        <w:ind w:left="1080"/>
        <w:rPr>
          <w:sz w:val="28"/>
        </w:rPr>
      </w:pPr>
    </w:p>
    <w:p w:rsidR="00DD6307" w:rsidRDefault="00DD6307" w:rsidP="009F15FE">
      <w:pPr>
        <w:ind w:left="1080"/>
        <w:rPr>
          <w:sz w:val="28"/>
        </w:rPr>
      </w:pPr>
      <w:r>
        <w:rPr>
          <w:sz w:val="28"/>
        </w:rPr>
        <w:t>Beweis: Kurzgutachten „Das Rätsel der Sprechklausel“ der Juristen zu Stuttgart 21(RA Bernhard Ludwig, Stuttgart), Anlage K 9</w:t>
      </w:r>
    </w:p>
    <w:p w:rsidR="00DD6307" w:rsidRDefault="00DD6307" w:rsidP="009F15FE">
      <w:pPr>
        <w:ind w:left="1080"/>
        <w:rPr>
          <w:sz w:val="28"/>
        </w:rPr>
      </w:pPr>
    </w:p>
    <w:p w:rsidR="00DD6307" w:rsidRDefault="00DD6307" w:rsidP="009F15FE">
      <w:pPr>
        <w:ind w:left="1080"/>
        <w:rPr>
          <w:sz w:val="28"/>
        </w:rPr>
      </w:pPr>
      <w:r>
        <w:rPr>
          <w:sz w:val="28"/>
        </w:rPr>
        <w:t>Das Storno 21- Bürgerbegehren stützt sich auf solche für das Interesse der Stadt Stuttgart untragbare Lage.</w:t>
      </w:r>
    </w:p>
    <w:p w:rsidR="009F15FE" w:rsidRDefault="009F15FE" w:rsidP="009F15FE">
      <w:pPr>
        <w:rPr>
          <w:sz w:val="28"/>
        </w:rPr>
      </w:pPr>
    </w:p>
    <w:p w:rsidR="009F15FE" w:rsidRDefault="009F15FE" w:rsidP="009F15FE">
      <w:pPr>
        <w:rPr>
          <w:sz w:val="28"/>
        </w:rPr>
      </w:pPr>
    </w:p>
    <w:p w:rsidR="00F652FA" w:rsidRDefault="00F652FA" w:rsidP="00F652FA">
      <w:pPr>
        <w:pStyle w:val="Listenabsatz"/>
        <w:ind w:left="1080"/>
        <w:rPr>
          <w:b/>
          <w:sz w:val="28"/>
        </w:rPr>
      </w:pPr>
      <w:r w:rsidRPr="00F652FA">
        <w:rPr>
          <w:b/>
          <w:sz w:val="28"/>
        </w:rPr>
        <w:t xml:space="preserve">                   </w:t>
      </w:r>
      <w:r>
        <w:rPr>
          <w:b/>
          <w:sz w:val="28"/>
        </w:rPr>
        <w:t xml:space="preserve">                               </w:t>
      </w:r>
      <w:r w:rsidRPr="00F652FA">
        <w:rPr>
          <w:b/>
          <w:sz w:val="28"/>
        </w:rPr>
        <w:t xml:space="preserve">  III.</w:t>
      </w:r>
    </w:p>
    <w:p w:rsidR="00F652FA" w:rsidRPr="00F652FA" w:rsidRDefault="00B42090" w:rsidP="00F652FA">
      <w:pPr>
        <w:pStyle w:val="Listenabsatz"/>
        <w:ind w:left="1080"/>
        <w:rPr>
          <w:b/>
          <w:sz w:val="28"/>
        </w:rPr>
      </w:pPr>
      <w:r>
        <w:rPr>
          <w:b/>
          <w:sz w:val="28"/>
        </w:rPr>
        <w:t xml:space="preserve">                 </w:t>
      </w:r>
      <w:r w:rsidR="00F652FA">
        <w:rPr>
          <w:b/>
          <w:sz w:val="28"/>
        </w:rPr>
        <w:t xml:space="preserve">   </w:t>
      </w:r>
      <w:r>
        <w:rPr>
          <w:b/>
          <w:sz w:val="28"/>
        </w:rPr>
        <w:t>Zur</w:t>
      </w:r>
      <w:r w:rsidR="00F652FA">
        <w:rPr>
          <w:b/>
          <w:sz w:val="28"/>
        </w:rPr>
        <w:t xml:space="preserve">  Begründetheit des Bürgerbegehrens</w:t>
      </w:r>
    </w:p>
    <w:p w:rsidR="00C022F3" w:rsidRDefault="004C745E" w:rsidP="00783A1F">
      <w:pPr>
        <w:pStyle w:val="Listenabsatz"/>
        <w:rPr>
          <w:sz w:val="28"/>
        </w:rPr>
      </w:pPr>
      <w:r>
        <w:rPr>
          <w:sz w:val="28"/>
        </w:rPr>
        <w:t xml:space="preserve">    </w:t>
      </w:r>
      <w:r w:rsidR="00C022F3">
        <w:rPr>
          <w:sz w:val="28"/>
        </w:rPr>
        <w:t xml:space="preserve"> </w:t>
      </w:r>
    </w:p>
    <w:p w:rsidR="00B42090" w:rsidRDefault="00514F3A" w:rsidP="00783A1F">
      <w:pPr>
        <w:pStyle w:val="Listenabsatz"/>
        <w:rPr>
          <w:sz w:val="28"/>
        </w:rPr>
      </w:pPr>
      <w:r>
        <w:rPr>
          <w:sz w:val="28"/>
        </w:rPr>
        <w:t xml:space="preserve">Die </w:t>
      </w:r>
      <w:r w:rsidR="00D63C68">
        <w:rPr>
          <w:sz w:val="28"/>
        </w:rPr>
        <w:t xml:space="preserve"> Initiatoren </w:t>
      </w:r>
      <w:r>
        <w:rPr>
          <w:sz w:val="28"/>
        </w:rPr>
        <w:t xml:space="preserve">des Storno 21-Bürgerbegehrens machen </w:t>
      </w:r>
      <w:r w:rsidR="00D63C68">
        <w:rPr>
          <w:sz w:val="28"/>
        </w:rPr>
        <w:t xml:space="preserve">im Rahmen des § 21 Abs. 3 GemO </w:t>
      </w:r>
      <w:r w:rsidR="00B42090">
        <w:rPr>
          <w:sz w:val="28"/>
        </w:rPr>
        <w:t xml:space="preserve"> ein Kündigungsrecht wegen Wegfalls der Geschäfts</w:t>
      </w:r>
      <w:r>
        <w:rPr>
          <w:sz w:val="28"/>
        </w:rPr>
        <w:t>-</w:t>
      </w:r>
      <w:r w:rsidR="00B42090">
        <w:rPr>
          <w:sz w:val="28"/>
        </w:rPr>
        <w:t xml:space="preserve">grundlage nach § 60 VwVfG geltend. </w:t>
      </w:r>
    </w:p>
    <w:p w:rsidR="00B42090" w:rsidRDefault="00514F3A" w:rsidP="00783A1F">
      <w:pPr>
        <w:pStyle w:val="Listenabsatz"/>
        <w:rPr>
          <w:sz w:val="28"/>
        </w:rPr>
      </w:pPr>
      <w:r>
        <w:rPr>
          <w:sz w:val="28"/>
        </w:rPr>
        <w:t>Darauf</w:t>
      </w:r>
      <w:r w:rsidR="00B42090">
        <w:rPr>
          <w:sz w:val="28"/>
        </w:rPr>
        <w:t xml:space="preserve">  ist näher einzugehen:</w:t>
      </w:r>
    </w:p>
    <w:p w:rsidR="00B42090" w:rsidRDefault="00B42090" w:rsidP="00783A1F">
      <w:pPr>
        <w:pStyle w:val="Listenabsatz"/>
        <w:rPr>
          <w:sz w:val="28"/>
        </w:rPr>
      </w:pPr>
    </w:p>
    <w:p w:rsidR="00B42090" w:rsidRDefault="00D63C68" w:rsidP="00B42090">
      <w:pPr>
        <w:pStyle w:val="Listenabsatz"/>
        <w:numPr>
          <w:ilvl w:val="0"/>
          <w:numId w:val="9"/>
        </w:numPr>
        <w:rPr>
          <w:sz w:val="28"/>
        </w:rPr>
      </w:pPr>
      <w:r w:rsidRPr="00D5126E">
        <w:rPr>
          <w:sz w:val="28"/>
          <w:u w:val="single"/>
        </w:rPr>
        <w:t>Voraussetzungen nach § 21 Absatz 3 GemO</w:t>
      </w:r>
      <w:r>
        <w:rPr>
          <w:sz w:val="28"/>
        </w:rPr>
        <w:t>.</w:t>
      </w:r>
    </w:p>
    <w:p w:rsidR="00D63C68" w:rsidRDefault="00D63C68" w:rsidP="00D63C68">
      <w:pPr>
        <w:pStyle w:val="Listenabsatz"/>
        <w:ind w:left="1080"/>
        <w:rPr>
          <w:sz w:val="28"/>
        </w:rPr>
      </w:pPr>
    </w:p>
    <w:p w:rsidR="00172FAA" w:rsidRDefault="00172FAA" w:rsidP="00D63C68">
      <w:pPr>
        <w:pStyle w:val="Listenabsatz"/>
        <w:numPr>
          <w:ilvl w:val="0"/>
          <w:numId w:val="10"/>
        </w:numPr>
        <w:rPr>
          <w:sz w:val="28"/>
        </w:rPr>
      </w:pPr>
      <w:r>
        <w:rPr>
          <w:sz w:val="28"/>
        </w:rPr>
        <w:t>Wie schon ausgeführt wurde, erfüllt das Bürgerbegehren die Bedingung, dass es von mindestens 20.000 Bürgerinnen und Bürgern der Stadt Stuttgart in gü</w:t>
      </w:r>
      <w:r w:rsidR="00514F3A">
        <w:rPr>
          <w:sz w:val="28"/>
        </w:rPr>
        <w:t>ltiger Form unterzeichnet wurde. D</w:t>
      </w:r>
      <w:r>
        <w:rPr>
          <w:sz w:val="28"/>
        </w:rPr>
        <w:t>as Statistische Amt der Antrag</w:t>
      </w:r>
      <w:r w:rsidR="00514F3A">
        <w:rPr>
          <w:sz w:val="28"/>
        </w:rPr>
        <w:t>sgegnerin hat dies anerkannt</w:t>
      </w:r>
      <w:r>
        <w:rPr>
          <w:sz w:val="28"/>
        </w:rPr>
        <w:t>.</w:t>
      </w:r>
    </w:p>
    <w:p w:rsidR="000B1B2E" w:rsidRPr="00140E97" w:rsidRDefault="00172FAA" w:rsidP="00140E97">
      <w:pPr>
        <w:pStyle w:val="Listenabsatz"/>
        <w:numPr>
          <w:ilvl w:val="0"/>
          <w:numId w:val="10"/>
        </w:numPr>
        <w:rPr>
          <w:sz w:val="28"/>
        </w:rPr>
      </w:pPr>
      <w:r>
        <w:rPr>
          <w:sz w:val="28"/>
        </w:rPr>
        <w:t>Nicht zu bestreiten ist auch a</w:t>
      </w:r>
      <w:r w:rsidR="00D63C68">
        <w:rPr>
          <w:sz w:val="28"/>
        </w:rPr>
        <w:t xml:space="preserve">ufgrund der vorangehenden </w:t>
      </w:r>
      <w:r>
        <w:rPr>
          <w:sz w:val="28"/>
        </w:rPr>
        <w:t xml:space="preserve">zwei </w:t>
      </w:r>
      <w:r w:rsidR="00D63C68">
        <w:rPr>
          <w:sz w:val="28"/>
        </w:rPr>
        <w:t>Bürgerbegehren und der dazu jeweils von der 7. Kammer des VG Stuttgart getroffenen Entscheidungen</w:t>
      </w:r>
      <w:r w:rsidR="000B1B2E">
        <w:rPr>
          <w:sz w:val="28"/>
        </w:rPr>
        <w:t xml:space="preserve"> sowie a</w:t>
      </w:r>
      <w:r w:rsidR="00140E97">
        <w:rPr>
          <w:sz w:val="28"/>
        </w:rPr>
        <w:t>ufgrund des VGH-Urteils vom 21.04</w:t>
      </w:r>
      <w:r w:rsidR="000B1B2E">
        <w:rPr>
          <w:sz w:val="28"/>
        </w:rPr>
        <w:t xml:space="preserve">.2015 </w:t>
      </w:r>
      <w:r>
        <w:rPr>
          <w:sz w:val="28"/>
        </w:rPr>
        <w:t xml:space="preserve">( </w:t>
      </w:r>
      <w:r w:rsidR="000B1B2E" w:rsidRPr="00172FAA">
        <w:rPr>
          <w:sz w:val="28"/>
        </w:rPr>
        <w:t>S 1949/13</w:t>
      </w:r>
      <w:r w:rsidR="00140E97">
        <w:rPr>
          <w:sz w:val="28"/>
        </w:rPr>
        <w:t>, Rn 66, juris</w:t>
      </w:r>
      <w:r w:rsidR="000B1B2E" w:rsidRPr="00172FAA">
        <w:rPr>
          <w:sz w:val="28"/>
        </w:rPr>
        <w:t>)</w:t>
      </w:r>
      <w:r w:rsidR="00D63C68" w:rsidRPr="00172FAA">
        <w:rPr>
          <w:sz w:val="28"/>
        </w:rPr>
        <w:t>, dass das Storno 21-Bürger</w:t>
      </w:r>
      <w:r w:rsidR="000B1B2E" w:rsidRPr="00172FAA">
        <w:rPr>
          <w:sz w:val="28"/>
        </w:rPr>
        <w:t>-</w:t>
      </w:r>
      <w:r w:rsidR="000B1B2E" w:rsidRPr="00140E97">
        <w:rPr>
          <w:sz w:val="28"/>
        </w:rPr>
        <w:t>begehren zur Frage des Ausstiegs der Stadt Stuttgart aus dem Projekt S 21 eine Angelegenh</w:t>
      </w:r>
      <w:r w:rsidR="00140E97">
        <w:rPr>
          <w:sz w:val="28"/>
        </w:rPr>
        <w:t>eit des  gemeindlichen Wirkungs</w:t>
      </w:r>
      <w:r w:rsidR="000B1B2E" w:rsidRPr="00140E97">
        <w:rPr>
          <w:sz w:val="28"/>
        </w:rPr>
        <w:t>kreises betrifft, für</w:t>
      </w:r>
      <w:r w:rsidRPr="00140E97">
        <w:rPr>
          <w:sz w:val="28"/>
        </w:rPr>
        <w:t xml:space="preserve"> </w:t>
      </w:r>
      <w:r w:rsidR="000B1B2E" w:rsidRPr="00140E97">
        <w:rPr>
          <w:sz w:val="28"/>
        </w:rPr>
        <w:t>die der Gemeinderat im Sinne von</w:t>
      </w:r>
      <w:r w:rsidR="00140E97">
        <w:rPr>
          <w:sz w:val="28"/>
        </w:rPr>
        <w:t xml:space="preserve">     </w:t>
      </w:r>
      <w:r w:rsidR="000B1B2E" w:rsidRPr="00140E97">
        <w:rPr>
          <w:sz w:val="28"/>
        </w:rPr>
        <w:t xml:space="preserve"> § 21 Abs. 3 Satz 1 GemO zuständig ist. </w:t>
      </w:r>
    </w:p>
    <w:p w:rsidR="00F34D85" w:rsidRDefault="00514F3A" w:rsidP="00172FAA">
      <w:pPr>
        <w:pStyle w:val="Listenabsatz"/>
        <w:numPr>
          <w:ilvl w:val="0"/>
          <w:numId w:val="10"/>
        </w:numPr>
        <w:rPr>
          <w:sz w:val="28"/>
        </w:rPr>
      </w:pPr>
      <w:r>
        <w:rPr>
          <w:sz w:val="28"/>
        </w:rPr>
        <w:t>D</w:t>
      </w:r>
      <w:r w:rsidR="005A0884">
        <w:rPr>
          <w:sz w:val="28"/>
        </w:rPr>
        <w:t>ie Fragestellung und die Begründung des Bürgerbegehrens ergeben nach diesseitiger Auffassung und auf der Grundlage de</w:t>
      </w:r>
      <w:r>
        <w:rPr>
          <w:sz w:val="28"/>
        </w:rPr>
        <w:t xml:space="preserve">r </w:t>
      </w:r>
      <w:r w:rsidR="005A0884">
        <w:rPr>
          <w:sz w:val="28"/>
        </w:rPr>
        <w:t xml:space="preserve"> Rechtsprechung des VGH (aaO</w:t>
      </w:r>
      <w:r w:rsidR="00140E97">
        <w:rPr>
          <w:sz w:val="28"/>
        </w:rPr>
        <w:t xml:space="preserve"> ff.) keine nachvollziehbar begrün-de</w:t>
      </w:r>
      <w:r w:rsidR="005A0884">
        <w:rPr>
          <w:sz w:val="28"/>
        </w:rPr>
        <w:t>ten Einwände.</w:t>
      </w:r>
      <w:r>
        <w:rPr>
          <w:sz w:val="28"/>
        </w:rPr>
        <w:t xml:space="preserve"> Bereits im Verfahren zum zweiten Bürgerbege</w:t>
      </w:r>
      <w:r w:rsidR="00140E97">
        <w:rPr>
          <w:sz w:val="28"/>
        </w:rPr>
        <w:t>h-</w:t>
      </w:r>
      <w:r>
        <w:rPr>
          <w:sz w:val="28"/>
        </w:rPr>
        <w:t>ren</w:t>
      </w:r>
      <w:r w:rsidR="00474E01">
        <w:rPr>
          <w:sz w:val="28"/>
        </w:rPr>
        <w:t xml:space="preserve"> gegen die Mischfinanzierung ist</w:t>
      </w:r>
      <w:r>
        <w:rPr>
          <w:sz w:val="28"/>
        </w:rPr>
        <w:t xml:space="preserve"> die Antra</w:t>
      </w:r>
      <w:r w:rsidR="00D73D66">
        <w:rPr>
          <w:sz w:val="28"/>
        </w:rPr>
        <w:t>gsgegnerin mit ihrem</w:t>
      </w:r>
      <w:r w:rsidR="00474E01">
        <w:rPr>
          <w:sz w:val="28"/>
        </w:rPr>
        <w:t xml:space="preserve"> </w:t>
      </w:r>
      <w:r w:rsidR="00D73D66">
        <w:rPr>
          <w:sz w:val="28"/>
        </w:rPr>
        <w:t xml:space="preserve"> Vortrag, der</w:t>
      </w:r>
      <w:r>
        <w:rPr>
          <w:sz w:val="28"/>
        </w:rPr>
        <w:t xml:space="preserve"> das Bürgerbegehren als solches vereiteln und die gerichtliche Klärung d</w:t>
      </w:r>
      <w:r w:rsidR="00D73D66">
        <w:rPr>
          <w:sz w:val="28"/>
        </w:rPr>
        <w:t>er Sachfragen verhindern sollte</w:t>
      </w:r>
      <w:r>
        <w:rPr>
          <w:sz w:val="28"/>
        </w:rPr>
        <w:t xml:space="preserve">, </w:t>
      </w:r>
      <w:r w:rsidR="009F15FE">
        <w:rPr>
          <w:sz w:val="28"/>
        </w:rPr>
        <w:t>nicht durchgedrungen</w:t>
      </w:r>
      <w:r>
        <w:rPr>
          <w:sz w:val="28"/>
        </w:rPr>
        <w:t>.</w:t>
      </w:r>
      <w:r w:rsidR="001434DA">
        <w:rPr>
          <w:sz w:val="28"/>
        </w:rPr>
        <w:t xml:space="preserve"> Sie h</w:t>
      </w:r>
      <w:r w:rsidR="00474E01">
        <w:rPr>
          <w:sz w:val="28"/>
        </w:rPr>
        <w:t>at dennoch ihre alte, zu Bürger</w:t>
      </w:r>
      <w:r w:rsidR="001434DA">
        <w:rPr>
          <w:sz w:val="28"/>
        </w:rPr>
        <w:t>begehren  unfreundliche Haltung beibehalten</w:t>
      </w:r>
      <w:r w:rsidR="00F34D85">
        <w:rPr>
          <w:sz w:val="28"/>
        </w:rPr>
        <w:t xml:space="preserve">. </w:t>
      </w:r>
    </w:p>
    <w:p w:rsidR="001434DA" w:rsidRPr="001434DA" w:rsidRDefault="00F34D85" w:rsidP="00F34D85">
      <w:pPr>
        <w:pStyle w:val="Listenabsatz"/>
        <w:ind w:left="1440"/>
        <w:rPr>
          <w:sz w:val="28"/>
          <w:u w:val="single"/>
        </w:rPr>
      </w:pPr>
      <w:r w:rsidRPr="001434DA">
        <w:rPr>
          <w:sz w:val="28"/>
          <w:u w:val="single"/>
        </w:rPr>
        <w:t>So soll auch das vorliegende Bürgerbegehren verfristet sein</w:t>
      </w:r>
      <w:r>
        <w:rPr>
          <w:sz w:val="28"/>
        </w:rPr>
        <w:t>. Dazu stützt man sich</w:t>
      </w:r>
      <w:r w:rsidR="005A0884">
        <w:rPr>
          <w:sz w:val="28"/>
        </w:rPr>
        <w:t xml:space="preserve"> auf </w:t>
      </w:r>
      <w:r w:rsidR="005A0884" w:rsidRPr="001434DA">
        <w:rPr>
          <w:sz w:val="28"/>
          <w:u w:val="single"/>
        </w:rPr>
        <w:t>eine „entsprechende Anwendung“ von § 21 Absatz 3 S</w:t>
      </w:r>
      <w:r w:rsidRPr="001434DA">
        <w:rPr>
          <w:sz w:val="28"/>
          <w:u w:val="single"/>
        </w:rPr>
        <w:t xml:space="preserve">atz 3, HS 2 GemO, weil das Bürgerbegehren </w:t>
      </w:r>
      <w:r w:rsidR="005A0884" w:rsidRPr="001434DA">
        <w:rPr>
          <w:sz w:val="28"/>
          <w:u w:val="single"/>
        </w:rPr>
        <w:t xml:space="preserve"> „nicht innerhalb von sechs Wochen nach der Ankündigung der </w:t>
      </w:r>
      <w:r w:rsidR="00C60A79" w:rsidRPr="001434DA">
        <w:rPr>
          <w:sz w:val="28"/>
          <w:u w:val="single"/>
        </w:rPr>
        <w:t>Deutschen Bahn AG eingere</w:t>
      </w:r>
      <w:r w:rsidR="001434DA" w:rsidRPr="001434DA">
        <w:rPr>
          <w:sz w:val="28"/>
          <w:u w:val="single"/>
        </w:rPr>
        <w:t>icht worden ist“</w:t>
      </w:r>
    </w:p>
    <w:p w:rsidR="000B1B2E" w:rsidRDefault="001434DA" w:rsidP="00F34D85">
      <w:pPr>
        <w:pStyle w:val="Listenabsatz"/>
        <w:ind w:left="1440"/>
        <w:rPr>
          <w:sz w:val="28"/>
        </w:rPr>
      </w:pPr>
      <w:r>
        <w:rPr>
          <w:sz w:val="28"/>
        </w:rPr>
        <w:t xml:space="preserve"> (</w:t>
      </w:r>
      <w:r w:rsidR="00C60A79">
        <w:rPr>
          <w:sz w:val="28"/>
        </w:rPr>
        <w:t xml:space="preserve"> Stellungnahme des Rechtsanwalts Dr.Kirchbe</w:t>
      </w:r>
      <w:r w:rsidR="00F34D85">
        <w:rPr>
          <w:sz w:val="28"/>
        </w:rPr>
        <w:t>rg, S.</w:t>
      </w:r>
      <w:r>
        <w:rPr>
          <w:sz w:val="28"/>
        </w:rPr>
        <w:t xml:space="preserve"> </w:t>
      </w:r>
      <w:r w:rsidR="00F34D85">
        <w:rPr>
          <w:sz w:val="28"/>
        </w:rPr>
        <w:t xml:space="preserve"> Ziffer 2</w:t>
      </w:r>
      <w:r w:rsidR="00C60A79">
        <w:rPr>
          <w:sz w:val="28"/>
        </w:rPr>
        <w:t xml:space="preserve"> d).</w:t>
      </w:r>
    </w:p>
    <w:p w:rsidR="009F15FE" w:rsidRDefault="009F15FE" w:rsidP="00C60A79">
      <w:pPr>
        <w:pStyle w:val="Listenabsatz"/>
        <w:ind w:left="1440"/>
        <w:rPr>
          <w:sz w:val="28"/>
        </w:rPr>
      </w:pPr>
      <w:r>
        <w:rPr>
          <w:sz w:val="28"/>
        </w:rPr>
        <w:t>Dem steht entgegen:</w:t>
      </w:r>
    </w:p>
    <w:p w:rsidR="006D7A23" w:rsidRDefault="006D7A23" w:rsidP="006D7A23">
      <w:pPr>
        <w:rPr>
          <w:sz w:val="28"/>
          <w:u w:val="single"/>
        </w:rPr>
      </w:pPr>
      <w:r>
        <w:rPr>
          <w:sz w:val="28"/>
        </w:rPr>
        <w:t xml:space="preserve">                 </w:t>
      </w:r>
      <w:r w:rsidR="009F15FE" w:rsidRPr="006D7A23">
        <w:rPr>
          <w:sz w:val="28"/>
        </w:rPr>
        <w:t xml:space="preserve">aa) </w:t>
      </w:r>
      <w:r w:rsidR="00C60A79" w:rsidRPr="006D7A23">
        <w:rPr>
          <w:sz w:val="28"/>
        </w:rPr>
        <w:t xml:space="preserve">Die Gegenseite räumt damit ein, dass die </w:t>
      </w:r>
      <w:r w:rsidR="00C60A79" w:rsidRPr="006D7A23">
        <w:rPr>
          <w:sz w:val="28"/>
          <w:u w:val="single"/>
        </w:rPr>
        <w:t>Ausschlussfrist des</w:t>
      </w:r>
    </w:p>
    <w:p w:rsidR="006D7A23" w:rsidRPr="006D7A23" w:rsidRDefault="006D7A23" w:rsidP="006D7A23">
      <w:pPr>
        <w:rPr>
          <w:sz w:val="28"/>
        </w:rPr>
      </w:pPr>
      <w:r w:rsidRPr="006D7A23">
        <w:rPr>
          <w:sz w:val="28"/>
        </w:rPr>
        <w:t xml:space="preserve">                     </w:t>
      </w:r>
      <w:r w:rsidR="00C60A79" w:rsidRPr="006D7A23">
        <w:rPr>
          <w:sz w:val="28"/>
        </w:rPr>
        <w:t xml:space="preserve"> </w:t>
      </w:r>
      <w:r w:rsidRPr="006D7A23">
        <w:rPr>
          <w:sz w:val="28"/>
        </w:rPr>
        <w:t xml:space="preserve"> </w:t>
      </w:r>
      <w:r w:rsidR="00C60A79" w:rsidRPr="006D7A23">
        <w:rPr>
          <w:sz w:val="28"/>
          <w:u w:val="single"/>
        </w:rPr>
        <w:t>Gesetzes genau genommen nicht einschlägig</w:t>
      </w:r>
      <w:r w:rsidR="00C60A79" w:rsidRPr="006D7A23">
        <w:rPr>
          <w:sz w:val="28"/>
        </w:rPr>
        <w:t xml:space="preserve"> ist. Es wird gerade</w:t>
      </w:r>
    </w:p>
    <w:p w:rsidR="006D7A23" w:rsidRDefault="006D7A23" w:rsidP="006D7A23">
      <w:pPr>
        <w:rPr>
          <w:sz w:val="28"/>
        </w:rPr>
      </w:pPr>
      <w:r>
        <w:rPr>
          <w:sz w:val="28"/>
        </w:rPr>
        <w:t xml:space="preserve">                      </w:t>
      </w:r>
      <w:r w:rsidR="00C60A79" w:rsidRPr="006D7A23">
        <w:rPr>
          <w:sz w:val="28"/>
        </w:rPr>
        <w:t xml:space="preserve"> nicht ein Gemeinderatsbeschluss angegriffen, ebenso</w:t>
      </w:r>
      <w:r w:rsidR="001434DA" w:rsidRPr="006D7A23">
        <w:rPr>
          <w:sz w:val="28"/>
        </w:rPr>
        <w:t xml:space="preserve"> </w:t>
      </w:r>
      <w:r w:rsidR="00C60A79" w:rsidRPr="006D7A23">
        <w:rPr>
          <w:sz w:val="28"/>
        </w:rPr>
        <w:t>wenig der</w:t>
      </w:r>
    </w:p>
    <w:p w:rsidR="008A4949" w:rsidRPr="006D7A23" w:rsidRDefault="006D7A23" w:rsidP="006D7A23">
      <w:pPr>
        <w:rPr>
          <w:sz w:val="28"/>
        </w:rPr>
      </w:pPr>
      <w:r>
        <w:rPr>
          <w:sz w:val="28"/>
        </w:rPr>
        <w:t xml:space="preserve">                      </w:t>
      </w:r>
      <w:r w:rsidR="00C60A79" w:rsidRPr="006D7A23">
        <w:rPr>
          <w:sz w:val="28"/>
        </w:rPr>
        <w:t xml:space="preserve"> auf seiner Grundlage abgeschlossene Finanzierungsvertrag</w:t>
      </w:r>
      <w:r w:rsidR="009F15FE" w:rsidRPr="006D7A23">
        <w:rPr>
          <w:sz w:val="28"/>
        </w:rPr>
        <w:t>.</w:t>
      </w:r>
    </w:p>
    <w:p w:rsidR="006D7A23" w:rsidRDefault="006D7A23" w:rsidP="006D7A23">
      <w:pPr>
        <w:rPr>
          <w:sz w:val="28"/>
        </w:rPr>
      </w:pPr>
      <w:r>
        <w:rPr>
          <w:sz w:val="28"/>
        </w:rPr>
        <w:t xml:space="preserve">                  </w:t>
      </w:r>
      <w:r w:rsidR="009F15FE" w:rsidRPr="006D7A23">
        <w:rPr>
          <w:sz w:val="28"/>
        </w:rPr>
        <w:t>bb)  Viel</w:t>
      </w:r>
      <w:r w:rsidR="00C60A79" w:rsidRPr="006D7A23">
        <w:rPr>
          <w:sz w:val="28"/>
        </w:rPr>
        <w:t>mehr geht es um den nachträglich eingetretenen Wegfall der</w:t>
      </w:r>
    </w:p>
    <w:p w:rsidR="006D7A23" w:rsidRDefault="006D7A23" w:rsidP="006D7A23">
      <w:pPr>
        <w:rPr>
          <w:sz w:val="28"/>
        </w:rPr>
      </w:pPr>
      <w:r>
        <w:rPr>
          <w:sz w:val="28"/>
        </w:rPr>
        <w:t xml:space="preserve">                      </w:t>
      </w:r>
      <w:r w:rsidR="00C60A79" w:rsidRPr="006D7A23">
        <w:rPr>
          <w:sz w:val="28"/>
        </w:rPr>
        <w:t xml:space="preserve"> Geschäftsgrundlage nach § 60 VwVfG und damit um die Kündi</w:t>
      </w:r>
      <w:r w:rsidR="00B015F9" w:rsidRPr="006D7A23">
        <w:rPr>
          <w:sz w:val="28"/>
        </w:rPr>
        <w:t xml:space="preserve">gung </w:t>
      </w:r>
    </w:p>
    <w:p w:rsidR="006D7A23" w:rsidRDefault="006D7A23" w:rsidP="006D7A23">
      <w:pPr>
        <w:rPr>
          <w:sz w:val="28"/>
          <w:u w:val="single"/>
        </w:rPr>
      </w:pPr>
      <w:r>
        <w:rPr>
          <w:sz w:val="28"/>
        </w:rPr>
        <w:t xml:space="preserve">                       </w:t>
      </w:r>
      <w:r w:rsidR="00B015F9" w:rsidRPr="006D7A23">
        <w:rPr>
          <w:sz w:val="28"/>
        </w:rPr>
        <w:t xml:space="preserve">des bestehenden Vertrags im Sinne eines sog. </w:t>
      </w:r>
      <w:r w:rsidR="009F15FE" w:rsidRPr="006D7A23">
        <w:rPr>
          <w:sz w:val="28"/>
          <w:u w:val="single"/>
        </w:rPr>
        <w:t>i</w:t>
      </w:r>
      <w:r w:rsidR="00B015F9" w:rsidRPr="006D7A23">
        <w:rPr>
          <w:sz w:val="28"/>
          <w:u w:val="single"/>
        </w:rPr>
        <w:t xml:space="preserve">nitiierenden </w:t>
      </w:r>
    </w:p>
    <w:p w:rsidR="006D7A23" w:rsidRDefault="006D7A23" w:rsidP="006D7A23">
      <w:pPr>
        <w:rPr>
          <w:sz w:val="28"/>
        </w:rPr>
      </w:pPr>
      <w:r w:rsidRPr="006D7A23">
        <w:rPr>
          <w:sz w:val="28"/>
        </w:rPr>
        <w:t xml:space="preserve">                       </w:t>
      </w:r>
      <w:r w:rsidR="00B015F9" w:rsidRPr="006D7A23">
        <w:rPr>
          <w:sz w:val="28"/>
          <w:u w:val="single"/>
        </w:rPr>
        <w:t>Bürgerbegehrens</w:t>
      </w:r>
      <w:r w:rsidR="00160313" w:rsidRPr="006D7A23">
        <w:rPr>
          <w:sz w:val="28"/>
          <w:u w:val="single"/>
        </w:rPr>
        <w:t xml:space="preserve">, </w:t>
      </w:r>
      <w:r w:rsidR="00B015F9" w:rsidRPr="006D7A23">
        <w:rPr>
          <w:sz w:val="28"/>
          <w:u w:val="single"/>
        </w:rPr>
        <w:t xml:space="preserve">das auf </w:t>
      </w:r>
      <w:r w:rsidR="00B015F9" w:rsidRPr="006D7A23">
        <w:rPr>
          <w:sz w:val="28"/>
        </w:rPr>
        <w:t xml:space="preserve">“ </w:t>
      </w:r>
      <w:r w:rsidR="008A4949" w:rsidRPr="006D7A23">
        <w:rPr>
          <w:sz w:val="28"/>
          <w:u w:val="single"/>
        </w:rPr>
        <w:t>ein</w:t>
      </w:r>
      <w:r w:rsidR="008A4949" w:rsidRPr="006D7A23">
        <w:rPr>
          <w:sz w:val="28"/>
        </w:rPr>
        <w:t xml:space="preserve"> „</w:t>
      </w:r>
      <w:r w:rsidR="008A4949" w:rsidRPr="006D7A23">
        <w:rPr>
          <w:sz w:val="28"/>
          <w:u w:val="single"/>
        </w:rPr>
        <w:t xml:space="preserve">unbestelltes Feld </w:t>
      </w:r>
      <w:r w:rsidR="00B015F9" w:rsidRPr="006D7A23">
        <w:rPr>
          <w:sz w:val="28"/>
          <w:u w:val="single"/>
        </w:rPr>
        <w:t>einwirkt</w:t>
      </w:r>
      <w:r w:rsidR="00B015F9" w:rsidRPr="006D7A23">
        <w:rPr>
          <w:sz w:val="28"/>
        </w:rPr>
        <w:t xml:space="preserve"> ( OVG</w:t>
      </w:r>
    </w:p>
    <w:p w:rsidR="00C84E7E" w:rsidRDefault="006D7A23" w:rsidP="006D7A23">
      <w:pPr>
        <w:rPr>
          <w:sz w:val="28"/>
        </w:rPr>
      </w:pPr>
      <w:r>
        <w:rPr>
          <w:sz w:val="28"/>
        </w:rPr>
        <w:t xml:space="preserve">                      </w:t>
      </w:r>
      <w:r w:rsidR="00B015F9" w:rsidRPr="006D7A23">
        <w:rPr>
          <w:sz w:val="28"/>
        </w:rPr>
        <w:t xml:space="preserve"> NRW, Urteil vom 28.01.2003 – 15 A 203/02 </w:t>
      </w:r>
      <w:r w:rsidR="00B015F9" w:rsidRPr="006D7A23">
        <w:rPr>
          <w:sz w:val="32"/>
        </w:rPr>
        <w:t>-</w:t>
      </w:r>
      <w:r w:rsidR="00B015F9" w:rsidRPr="006D7A23">
        <w:rPr>
          <w:sz w:val="28"/>
        </w:rPr>
        <w:t>, VG</w:t>
      </w:r>
      <w:r w:rsidR="00B015F9" w:rsidRPr="006D7A23">
        <w:rPr>
          <w:sz w:val="32"/>
        </w:rPr>
        <w:t xml:space="preserve"> </w:t>
      </w:r>
      <w:r w:rsidR="00B015F9" w:rsidRPr="006D7A23">
        <w:rPr>
          <w:sz w:val="28"/>
        </w:rPr>
        <w:t>Stuttgart</w:t>
      </w:r>
      <w:r w:rsidR="00B015F9" w:rsidRPr="006D7A23">
        <w:rPr>
          <w:sz w:val="24"/>
        </w:rPr>
        <w:t xml:space="preserve">, </w:t>
      </w:r>
      <w:r w:rsidR="00B015F9" w:rsidRPr="006D7A23">
        <w:rPr>
          <w:sz w:val="28"/>
        </w:rPr>
        <w:t>Urteil</w:t>
      </w:r>
    </w:p>
    <w:p w:rsidR="00C84E7E" w:rsidRDefault="00C84E7E" w:rsidP="006D7A23">
      <w:pPr>
        <w:rPr>
          <w:sz w:val="28"/>
        </w:rPr>
      </w:pPr>
      <w:r>
        <w:rPr>
          <w:sz w:val="28"/>
        </w:rPr>
        <w:t xml:space="preserve">                      </w:t>
      </w:r>
      <w:r w:rsidR="00B015F9" w:rsidRPr="006D7A23">
        <w:rPr>
          <w:sz w:val="28"/>
        </w:rPr>
        <w:t xml:space="preserve"> vom 17.07.2013 – 7 K 4182/11 – Rn </w:t>
      </w:r>
      <w:r w:rsidR="00A012EE" w:rsidRPr="006D7A23">
        <w:rPr>
          <w:sz w:val="28"/>
        </w:rPr>
        <w:t xml:space="preserve">99, 102, 103 mit weiteren </w:t>
      </w:r>
    </w:p>
    <w:p w:rsidR="00C84E7E" w:rsidRDefault="00C84E7E" w:rsidP="006D7A23">
      <w:pPr>
        <w:rPr>
          <w:sz w:val="28"/>
        </w:rPr>
      </w:pPr>
      <w:r>
        <w:rPr>
          <w:sz w:val="28"/>
        </w:rPr>
        <w:t xml:space="preserve">                       </w:t>
      </w:r>
      <w:r w:rsidR="00A012EE" w:rsidRPr="006D7A23">
        <w:rPr>
          <w:sz w:val="28"/>
        </w:rPr>
        <w:t>Nachweisen).</w:t>
      </w:r>
      <w:r w:rsidR="00B015F9" w:rsidRPr="006D7A23">
        <w:rPr>
          <w:sz w:val="28"/>
        </w:rPr>
        <w:t xml:space="preserve">  </w:t>
      </w:r>
      <w:r w:rsidR="00A012EE" w:rsidRPr="006D7A23">
        <w:rPr>
          <w:sz w:val="28"/>
        </w:rPr>
        <w:t xml:space="preserve">Die Sechs-Wochenfrist des sog. kassatorischen </w:t>
      </w:r>
    </w:p>
    <w:p w:rsidR="00340545" w:rsidRDefault="00C84E7E" w:rsidP="006D7A23">
      <w:pPr>
        <w:rPr>
          <w:sz w:val="28"/>
        </w:rPr>
      </w:pPr>
      <w:r>
        <w:rPr>
          <w:sz w:val="28"/>
        </w:rPr>
        <w:t xml:space="preserve">                      </w:t>
      </w:r>
      <w:r w:rsidR="00160313" w:rsidRPr="006D7A23">
        <w:rPr>
          <w:sz w:val="28"/>
        </w:rPr>
        <w:t xml:space="preserve"> Bürgerbegehren</w:t>
      </w:r>
      <w:r w:rsidR="00A012EE" w:rsidRPr="006D7A23">
        <w:rPr>
          <w:sz w:val="28"/>
        </w:rPr>
        <w:t>s gegen ei</w:t>
      </w:r>
      <w:r w:rsidR="00D51C7F" w:rsidRPr="006D7A23">
        <w:rPr>
          <w:sz w:val="28"/>
        </w:rPr>
        <w:t xml:space="preserve">nen vorausgehenden </w:t>
      </w:r>
      <w:r>
        <w:rPr>
          <w:sz w:val="28"/>
        </w:rPr>
        <w:t xml:space="preserve"> </w:t>
      </w:r>
      <w:r w:rsidR="00340545">
        <w:rPr>
          <w:sz w:val="28"/>
        </w:rPr>
        <w:t>Gemeinderats-</w:t>
      </w:r>
    </w:p>
    <w:p w:rsidR="00C60A79" w:rsidRPr="006D7A23" w:rsidRDefault="00340545" w:rsidP="006D7A23">
      <w:pPr>
        <w:rPr>
          <w:sz w:val="28"/>
        </w:rPr>
      </w:pPr>
      <w:r>
        <w:rPr>
          <w:sz w:val="28"/>
        </w:rPr>
        <w:t xml:space="preserve">                       </w:t>
      </w:r>
      <w:r w:rsidR="00A012EE" w:rsidRPr="006D7A23">
        <w:rPr>
          <w:sz w:val="28"/>
        </w:rPr>
        <w:t>beschluss kann desh</w:t>
      </w:r>
      <w:r w:rsidR="00C84E7E">
        <w:rPr>
          <w:sz w:val="28"/>
        </w:rPr>
        <w:t>alb gerade nicht anwendbar sein</w:t>
      </w:r>
      <w:r>
        <w:rPr>
          <w:sz w:val="28"/>
        </w:rPr>
        <w:t>.</w:t>
      </w:r>
    </w:p>
    <w:p w:rsidR="00160313" w:rsidRPr="00D51C7F" w:rsidRDefault="00D51C7F" w:rsidP="00D51C7F">
      <w:pPr>
        <w:pStyle w:val="Listenabsatz"/>
        <w:numPr>
          <w:ilvl w:val="0"/>
          <w:numId w:val="14"/>
        </w:numPr>
        <w:rPr>
          <w:sz w:val="28"/>
        </w:rPr>
      </w:pPr>
      <w:r w:rsidRPr="008A4949">
        <w:rPr>
          <w:sz w:val="28"/>
          <w:u w:val="single"/>
        </w:rPr>
        <w:t xml:space="preserve"> </w:t>
      </w:r>
      <w:r w:rsidR="00F34D85" w:rsidRPr="008A4949">
        <w:rPr>
          <w:sz w:val="28"/>
          <w:u w:val="single"/>
        </w:rPr>
        <w:t xml:space="preserve">Es </w:t>
      </w:r>
      <w:r w:rsidRPr="008A4949">
        <w:rPr>
          <w:sz w:val="28"/>
          <w:u w:val="single"/>
        </w:rPr>
        <w:t>gibt keine rechtsmethodische Handhabe</w:t>
      </w:r>
      <w:r w:rsidR="00160313" w:rsidRPr="00D51C7F">
        <w:rPr>
          <w:sz w:val="28"/>
        </w:rPr>
        <w:t xml:space="preserve"> für den von der Gegenseite gezogenen Analogieschluss</w:t>
      </w:r>
      <w:r>
        <w:rPr>
          <w:sz w:val="28"/>
        </w:rPr>
        <w:t xml:space="preserve"> – und sie wird auch nicht behauptet -</w:t>
      </w:r>
      <w:r w:rsidR="00160313" w:rsidRPr="00D51C7F">
        <w:rPr>
          <w:sz w:val="28"/>
        </w:rPr>
        <w:t>, die  Ausschlussfrist des § 21 Abs. 3 Satz 3 GemO nun auf v</w:t>
      </w:r>
      <w:r>
        <w:rPr>
          <w:sz w:val="28"/>
        </w:rPr>
        <w:t xml:space="preserve">öllig andere Fälle zu erweitern. Sie wären </w:t>
      </w:r>
      <w:r w:rsidR="00160313" w:rsidRPr="00D51C7F">
        <w:rPr>
          <w:sz w:val="28"/>
        </w:rPr>
        <w:t xml:space="preserve"> mit einer wesentlichen Änderung der dem Vertrag zugrunde liegenden Verhältnisse </w:t>
      </w:r>
      <w:r w:rsidR="006275A4" w:rsidRPr="00D51C7F">
        <w:rPr>
          <w:sz w:val="28"/>
        </w:rPr>
        <w:t>alle</w:t>
      </w:r>
      <w:r>
        <w:rPr>
          <w:sz w:val="28"/>
        </w:rPr>
        <w:t xml:space="preserve">in in die Zukunft gerichtet </w:t>
      </w:r>
      <w:r w:rsidR="006275A4" w:rsidRPr="00D51C7F">
        <w:rPr>
          <w:sz w:val="28"/>
        </w:rPr>
        <w:t xml:space="preserve"> </w:t>
      </w:r>
      <w:r w:rsidR="00160313" w:rsidRPr="00D51C7F">
        <w:rPr>
          <w:sz w:val="28"/>
        </w:rPr>
        <w:t xml:space="preserve">und </w:t>
      </w:r>
      <w:r>
        <w:rPr>
          <w:sz w:val="28"/>
        </w:rPr>
        <w:t xml:space="preserve"> würden </w:t>
      </w:r>
      <w:r w:rsidR="00A012EE" w:rsidRPr="00D51C7F">
        <w:rPr>
          <w:sz w:val="28"/>
        </w:rPr>
        <w:t>auch nicht mittelbar</w:t>
      </w:r>
      <w:r w:rsidR="006275A4" w:rsidRPr="00D51C7F">
        <w:rPr>
          <w:sz w:val="28"/>
        </w:rPr>
        <w:t xml:space="preserve"> einen zurückliegenden </w:t>
      </w:r>
      <w:r w:rsidR="00160313" w:rsidRPr="00D51C7F">
        <w:rPr>
          <w:sz w:val="28"/>
        </w:rPr>
        <w:t xml:space="preserve"> Gemeinderatsbeschlus</w:t>
      </w:r>
      <w:r w:rsidR="003E12C0">
        <w:rPr>
          <w:sz w:val="28"/>
        </w:rPr>
        <w:t>s</w:t>
      </w:r>
      <w:r>
        <w:rPr>
          <w:sz w:val="28"/>
        </w:rPr>
        <w:t xml:space="preserve"> betreffen</w:t>
      </w:r>
      <w:r w:rsidR="00A012EE" w:rsidRPr="00D51C7F">
        <w:rPr>
          <w:sz w:val="28"/>
        </w:rPr>
        <w:t xml:space="preserve">, sondern mittelbar nur gegen die anhaltende Untätigkeit des Gemeinderats trotz grundlegender Änderung der Verhältnisse </w:t>
      </w:r>
      <w:r w:rsidR="00160313" w:rsidRPr="00D51C7F">
        <w:rPr>
          <w:sz w:val="28"/>
        </w:rPr>
        <w:t xml:space="preserve"> </w:t>
      </w:r>
      <w:r>
        <w:rPr>
          <w:sz w:val="28"/>
        </w:rPr>
        <w:t>gerichtet sein</w:t>
      </w:r>
      <w:r w:rsidR="00160313" w:rsidRPr="00D51C7F">
        <w:rPr>
          <w:sz w:val="28"/>
        </w:rPr>
        <w:t>.</w:t>
      </w:r>
      <w:r>
        <w:rPr>
          <w:sz w:val="28"/>
        </w:rPr>
        <w:t xml:space="preserve"> Ein solcher sachfremder Analogieschluss verbietet sich umso mehr, als es der Gemeinderat durch neue Beschluss-fassung in der Hand </w:t>
      </w:r>
      <w:r w:rsidR="00340545">
        <w:rPr>
          <w:sz w:val="28"/>
        </w:rPr>
        <w:t xml:space="preserve">gehabt </w:t>
      </w:r>
      <w:r>
        <w:rPr>
          <w:sz w:val="28"/>
        </w:rPr>
        <w:t>hätte, die Sechs-Wochenfrist des § 21 Absa</w:t>
      </w:r>
      <w:r w:rsidR="00340545">
        <w:rPr>
          <w:sz w:val="28"/>
        </w:rPr>
        <w:t>tz 3 Satz3 2.HS GemO auszulösen. Er hat</w:t>
      </w:r>
      <w:r>
        <w:rPr>
          <w:sz w:val="28"/>
        </w:rPr>
        <w:t xml:space="preserve"> davon aber im vorliegenden Falle</w:t>
      </w:r>
      <w:r w:rsidR="00340545">
        <w:rPr>
          <w:sz w:val="28"/>
        </w:rPr>
        <w:t xml:space="preserve"> keinen  Gebrauch gemacht</w:t>
      </w:r>
      <w:r>
        <w:rPr>
          <w:sz w:val="28"/>
        </w:rPr>
        <w:t>.</w:t>
      </w:r>
    </w:p>
    <w:p w:rsidR="00160313" w:rsidRPr="00D51C7F" w:rsidRDefault="00160313" w:rsidP="00D51C7F">
      <w:pPr>
        <w:pStyle w:val="Listenabsatz"/>
        <w:numPr>
          <w:ilvl w:val="0"/>
          <w:numId w:val="14"/>
        </w:numPr>
        <w:rPr>
          <w:sz w:val="28"/>
        </w:rPr>
      </w:pPr>
      <w:r w:rsidRPr="00D51C7F">
        <w:rPr>
          <w:sz w:val="28"/>
        </w:rPr>
        <w:t>Die A</w:t>
      </w:r>
      <w:r w:rsidR="008A4949">
        <w:rPr>
          <w:sz w:val="28"/>
        </w:rPr>
        <w:t xml:space="preserve">ntragsgegnerin handelt zudem </w:t>
      </w:r>
      <w:r w:rsidRPr="00D51C7F">
        <w:rPr>
          <w:sz w:val="28"/>
        </w:rPr>
        <w:t xml:space="preserve"> mit ihrem </w:t>
      </w:r>
      <w:r w:rsidRPr="008A4949">
        <w:rPr>
          <w:sz w:val="28"/>
          <w:u w:val="single"/>
        </w:rPr>
        <w:t>Ve</w:t>
      </w:r>
      <w:r w:rsidR="00D51C7F" w:rsidRPr="008A4949">
        <w:rPr>
          <w:sz w:val="28"/>
          <w:u w:val="single"/>
        </w:rPr>
        <w:t>rfristungsein</w:t>
      </w:r>
      <w:r w:rsidR="008A4949" w:rsidRPr="008A4949">
        <w:rPr>
          <w:sz w:val="28"/>
          <w:u w:val="single"/>
        </w:rPr>
        <w:t>wand widersprüchlich</w:t>
      </w:r>
      <w:r w:rsidR="00BB08E8" w:rsidRPr="00D51C7F">
        <w:rPr>
          <w:sz w:val="28"/>
        </w:rPr>
        <w:t xml:space="preserve">, weil sie </w:t>
      </w:r>
      <w:r w:rsidRPr="00D51C7F">
        <w:rPr>
          <w:sz w:val="28"/>
        </w:rPr>
        <w:t xml:space="preserve"> </w:t>
      </w:r>
      <w:r w:rsidR="00BB08E8" w:rsidRPr="00D51C7F">
        <w:rPr>
          <w:sz w:val="28"/>
        </w:rPr>
        <w:t>in anderem Zusammenhang auf Seite 6 des Gutachtens Kirc</w:t>
      </w:r>
      <w:r w:rsidR="00F34D85" w:rsidRPr="00D51C7F">
        <w:rPr>
          <w:sz w:val="28"/>
        </w:rPr>
        <w:t>hberg vorträgt, die sog. Sprech</w:t>
      </w:r>
      <w:r w:rsidR="00BB08E8" w:rsidRPr="00D51C7F">
        <w:rPr>
          <w:sz w:val="28"/>
        </w:rPr>
        <w:t>klausel (§ 8 Abs. 4 FinVe, nicht § 9 Abs. 4) sei durch Aufnahme von Verhandlungen zwischen den Projektpartnern gezogen worden, das Ergebnis der Gespräche sei aber nicht bekannt und off</w:t>
      </w:r>
      <w:r w:rsidR="0098226F">
        <w:rPr>
          <w:sz w:val="28"/>
        </w:rPr>
        <w:t>en. Das Bürgerbegehren kann auch deshalb</w:t>
      </w:r>
      <w:r w:rsidR="00BB08E8" w:rsidRPr="00D51C7F">
        <w:rPr>
          <w:sz w:val="28"/>
        </w:rPr>
        <w:t xml:space="preserve"> nicht verspätet sein.</w:t>
      </w:r>
    </w:p>
    <w:p w:rsidR="008C19AC" w:rsidRDefault="008C19AC" w:rsidP="00C60A79">
      <w:pPr>
        <w:pStyle w:val="Listenabsatz"/>
        <w:ind w:left="1440"/>
        <w:rPr>
          <w:sz w:val="28"/>
        </w:rPr>
      </w:pPr>
    </w:p>
    <w:p w:rsidR="00340545" w:rsidRDefault="008C19AC" w:rsidP="0098226F">
      <w:pPr>
        <w:pStyle w:val="Listenabsatz"/>
        <w:numPr>
          <w:ilvl w:val="0"/>
          <w:numId w:val="10"/>
        </w:numPr>
        <w:rPr>
          <w:sz w:val="28"/>
        </w:rPr>
      </w:pPr>
      <w:r>
        <w:rPr>
          <w:sz w:val="28"/>
        </w:rPr>
        <w:t>Die Antragsgegnerin lässt noch durch ihren Bevollmächtigten (Seite 6 unten, Seite 7 oben des Votums v. 7.05.2015) einwenden,</w:t>
      </w:r>
    </w:p>
    <w:p w:rsidR="008C19AC" w:rsidRDefault="008C19AC" w:rsidP="00340545">
      <w:pPr>
        <w:pStyle w:val="Listenabsatz"/>
        <w:ind w:left="1440"/>
        <w:rPr>
          <w:sz w:val="28"/>
        </w:rPr>
      </w:pPr>
      <w:r>
        <w:rPr>
          <w:sz w:val="28"/>
        </w:rPr>
        <w:t xml:space="preserve"> </w:t>
      </w:r>
    </w:p>
    <w:p w:rsidR="008C19AC" w:rsidRDefault="008C19AC" w:rsidP="008C19AC">
      <w:pPr>
        <w:pStyle w:val="Listenabsatz"/>
        <w:ind w:left="1440"/>
        <w:rPr>
          <w:i/>
          <w:sz w:val="28"/>
        </w:rPr>
      </w:pPr>
      <w:r w:rsidRPr="008C19AC">
        <w:rPr>
          <w:sz w:val="28"/>
        </w:rPr>
        <w:t>„</w:t>
      </w:r>
      <w:r w:rsidRPr="008C19AC">
        <w:rPr>
          <w:i/>
          <w:sz w:val="28"/>
        </w:rPr>
        <w:t>dass Zahlungsverpflichtungen der LHS Stuttgart, die über die bisher bindend vereinbarten Beträge hinausgehen, selbst von dieser nicht von vornherein ausgeschlossen worden sind, sondern ausweislich des Beschlusses des Gemeinderats vom 29.07.2009 gegebenenfalls zum Gegenstand eines Bürgerentscheids über die weitere Mitfinanzieru</w:t>
      </w:r>
      <w:r w:rsidR="00624D91">
        <w:rPr>
          <w:i/>
          <w:sz w:val="28"/>
        </w:rPr>
        <w:t>ng des Pr</w:t>
      </w:r>
      <w:r w:rsidRPr="008C19AC">
        <w:rPr>
          <w:i/>
          <w:sz w:val="28"/>
        </w:rPr>
        <w:t>ojekts „Stuttgart 21“ gemacht werden sollen.“</w:t>
      </w:r>
    </w:p>
    <w:p w:rsidR="00624D91" w:rsidRDefault="00624D91" w:rsidP="008C19AC">
      <w:pPr>
        <w:pStyle w:val="Listenabsatz"/>
        <w:ind w:left="1440"/>
        <w:rPr>
          <w:i/>
          <w:sz w:val="28"/>
        </w:rPr>
      </w:pPr>
    </w:p>
    <w:p w:rsidR="00E01D51" w:rsidRDefault="00E01D51" w:rsidP="00E01D51">
      <w:pPr>
        <w:rPr>
          <w:sz w:val="28"/>
        </w:rPr>
      </w:pPr>
      <w:r>
        <w:rPr>
          <w:sz w:val="28"/>
        </w:rPr>
        <w:t xml:space="preserve">                </w:t>
      </w:r>
      <w:r w:rsidRPr="00E01D51">
        <w:rPr>
          <w:sz w:val="28"/>
        </w:rPr>
        <w:t xml:space="preserve">aa) </w:t>
      </w:r>
      <w:r w:rsidR="00624D91" w:rsidRPr="00E01D51">
        <w:rPr>
          <w:sz w:val="28"/>
        </w:rPr>
        <w:t>Dem steht entgegen: Zum Ein</w:t>
      </w:r>
      <w:r>
        <w:rPr>
          <w:sz w:val="28"/>
        </w:rPr>
        <w:t>en kann der Finanzierungsvertra g</w:t>
      </w:r>
    </w:p>
    <w:p w:rsidR="00E01D51" w:rsidRDefault="00E01D51" w:rsidP="00E01D51">
      <w:pPr>
        <w:rPr>
          <w:sz w:val="28"/>
        </w:rPr>
      </w:pPr>
      <w:r>
        <w:rPr>
          <w:sz w:val="28"/>
        </w:rPr>
        <w:t xml:space="preserve">                      </w:t>
      </w:r>
      <w:r w:rsidR="00624D91" w:rsidRPr="00E01D51">
        <w:rPr>
          <w:sz w:val="28"/>
        </w:rPr>
        <w:t xml:space="preserve"> vom 2.04.2009 nicht durch einen später erst, nämlich am</w:t>
      </w:r>
    </w:p>
    <w:p w:rsidR="00035D57" w:rsidRDefault="00E01D51" w:rsidP="00E01D51">
      <w:pPr>
        <w:rPr>
          <w:sz w:val="28"/>
        </w:rPr>
      </w:pPr>
      <w:r>
        <w:rPr>
          <w:sz w:val="28"/>
        </w:rPr>
        <w:t xml:space="preserve">                      </w:t>
      </w:r>
      <w:r w:rsidR="00624D91" w:rsidRPr="00E01D51">
        <w:rPr>
          <w:sz w:val="28"/>
        </w:rPr>
        <w:t xml:space="preserve"> 29.07.2009 ergangenen Gemeinderatsbeschluss ausgelegt</w:t>
      </w:r>
    </w:p>
    <w:p w:rsidR="00035D57" w:rsidRDefault="00035D57" w:rsidP="00E01D51">
      <w:pPr>
        <w:rPr>
          <w:sz w:val="28"/>
        </w:rPr>
      </w:pPr>
      <w:r>
        <w:rPr>
          <w:sz w:val="28"/>
        </w:rPr>
        <w:t xml:space="preserve">                       </w:t>
      </w:r>
      <w:r w:rsidR="00624D91" w:rsidRPr="00E01D51">
        <w:rPr>
          <w:sz w:val="28"/>
        </w:rPr>
        <w:t xml:space="preserve"> werden. </w:t>
      </w:r>
      <w:r w:rsidR="00340545" w:rsidRPr="00E01D51">
        <w:rPr>
          <w:sz w:val="28"/>
        </w:rPr>
        <w:t>Der Gemeinderat muss sich die im Falle der</w:t>
      </w:r>
    </w:p>
    <w:p w:rsidR="00035D57" w:rsidRDefault="00035D57" w:rsidP="00E01D51">
      <w:pPr>
        <w:rPr>
          <w:sz w:val="28"/>
        </w:rPr>
      </w:pPr>
      <w:r>
        <w:rPr>
          <w:sz w:val="28"/>
        </w:rPr>
        <w:t xml:space="preserve">                       </w:t>
      </w:r>
      <w:r w:rsidR="00340545" w:rsidRPr="00E01D51">
        <w:rPr>
          <w:sz w:val="28"/>
        </w:rPr>
        <w:t xml:space="preserve"> Überschreitung des Vertragsrahmens von 4,526 Mrd. Euro zu</w:t>
      </w:r>
    </w:p>
    <w:p w:rsidR="00035D57" w:rsidRDefault="00035D57" w:rsidP="00E01D51">
      <w:pPr>
        <w:rPr>
          <w:sz w:val="28"/>
        </w:rPr>
      </w:pPr>
      <w:r>
        <w:rPr>
          <w:sz w:val="28"/>
        </w:rPr>
        <w:t xml:space="preserve">                       </w:t>
      </w:r>
      <w:r w:rsidR="00340545" w:rsidRPr="00E01D51">
        <w:rPr>
          <w:sz w:val="28"/>
        </w:rPr>
        <w:t xml:space="preserve"> nichts Verpflichtende „Sprechklausel“ entgegenhalten lassen</w:t>
      </w:r>
    </w:p>
    <w:p w:rsidR="00035D57" w:rsidRDefault="00035D57" w:rsidP="00035D57">
      <w:pPr>
        <w:rPr>
          <w:sz w:val="28"/>
        </w:rPr>
      </w:pPr>
      <w:r>
        <w:rPr>
          <w:sz w:val="28"/>
        </w:rPr>
        <w:t xml:space="preserve">                       </w:t>
      </w:r>
      <w:r w:rsidR="00340545" w:rsidRPr="00E01D51">
        <w:rPr>
          <w:sz w:val="28"/>
        </w:rPr>
        <w:t xml:space="preserve">(siehe oben II. Ziffer 4). </w:t>
      </w:r>
    </w:p>
    <w:p w:rsidR="00035D57" w:rsidRDefault="00035D57" w:rsidP="00035D57">
      <w:pPr>
        <w:rPr>
          <w:sz w:val="28"/>
        </w:rPr>
      </w:pPr>
      <w:r>
        <w:rPr>
          <w:sz w:val="28"/>
        </w:rPr>
        <w:t xml:space="preserve">                  </w:t>
      </w:r>
      <w:r w:rsidR="00E01D51" w:rsidRPr="00035D57">
        <w:rPr>
          <w:sz w:val="28"/>
        </w:rPr>
        <w:t xml:space="preserve">bb) </w:t>
      </w:r>
      <w:r w:rsidR="00624D91" w:rsidRPr="00035D57">
        <w:rPr>
          <w:sz w:val="28"/>
        </w:rPr>
        <w:t xml:space="preserve">Zum Anderen </w:t>
      </w:r>
      <w:r w:rsidR="00D73D66" w:rsidRPr="00035D57">
        <w:rPr>
          <w:sz w:val="28"/>
        </w:rPr>
        <w:t>bleibt unverständlich, warum die Koppelung eines</w:t>
      </w:r>
    </w:p>
    <w:p w:rsidR="00035D57" w:rsidRDefault="00035D57" w:rsidP="00035D57">
      <w:pPr>
        <w:rPr>
          <w:sz w:val="28"/>
        </w:rPr>
      </w:pPr>
      <w:r>
        <w:rPr>
          <w:sz w:val="28"/>
        </w:rPr>
        <w:t xml:space="preserve">                       </w:t>
      </w:r>
      <w:r w:rsidR="00D73D66" w:rsidRPr="00035D57">
        <w:rPr>
          <w:sz w:val="28"/>
        </w:rPr>
        <w:t xml:space="preserve"> früheren Grundsatzbeschlusses des Gemeinderats, bei Kostenstei-</w:t>
      </w:r>
    </w:p>
    <w:p w:rsidR="00035D57" w:rsidRDefault="00035D57" w:rsidP="00035D57">
      <w:pPr>
        <w:rPr>
          <w:sz w:val="28"/>
        </w:rPr>
      </w:pPr>
      <w:r>
        <w:rPr>
          <w:sz w:val="28"/>
        </w:rPr>
        <w:t xml:space="preserve">                        </w:t>
      </w:r>
      <w:r w:rsidR="00D73D66" w:rsidRPr="00035D57">
        <w:rPr>
          <w:sz w:val="28"/>
        </w:rPr>
        <w:t>gerungen oberhalb des Vertragsrahmens einen Bürgerentscheid</w:t>
      </w:r>
    </w:p>
    <w:p w:rsidR="00E01D51" w:rsidRPr="00035D57" w:rsidRDefault="00035D57" w:rsidP="00035D57">
      <w:pPr>
        <w:rPr>
          <w:sz w:val="28"/>
        </w:rPr>
      </w:pPr>
      <w:r>
        <w:rPr>
          <w:sz w:val="28"/>
        </w:rPr>
        <w:t xml:space="preserve">                       </w:t>
      </w:r>
      <w:r w:rsidR="00D73D66" w:rsidRPr="00035D57">
        <w:rPr>
          <w:sz w:val="28"/>
        </w:rPr>
        <w:t xml:space="preserve"> einzuholen, dem Storno 21-Bürgerbegehren </w:t>
      </w:r>
      <w:r w:rsidR="00E01D51" w:rsidRPr="00035D57">
        <w:rPr>
          <w:sz w:val="28"/>
        </w:rPr>
        <w:t>entgegenstehen soll.</w:t>
      </w:r>
    </w:p>
    <w:p w:rsidR="00624D91" w:rsidRPr="00E01D51" w:rsidRDefault="00E01D51" w:rsidP="00E01D51">
      <w:pPr>
        <w:pStyle w:val="Listenabsatz"/>
        <w:numPr>
          <w:ilvl w:val="0"/>
          <w:numId w:val="16"/>
        </w:numPr>
        <w:rPr>
          <w:sz w:val="28"/>
        </w:rPr>
      </w:pPr>
      <w:r w:rsidRPr="00E01D51">
        <w:rPr>
          <w:sz w:val="28"/>
        </w:rPr>
        <w:t>Ferner</w:t>
      </w:r>
      <w:r w:rsidR="00D73D66" w:rsidRPr="00E01D51">
        <w:rPr>
          <w:sz w:val="28"/>
        </w:rPr>
        <w:t xml:space="preserve"> </w:t>
      </w:r>
      <w:r w:rsidR="00624D91" w:rsidRPr="00E01D51">
        <w:rPr>
          <w:sz w:val="28"/>
        </w:rPr>
        <w:t>geht es mit dem Storno 21-Bürgerbegehren, wie nachlesbar, nicht allein um die Mehrkostendebatte, sondern zugleich um den dreijäh</w:t>
      </w:r>
      <w:r>
        <w:rPr>
          <w:sz w:val="28"/>
        </w:rPr>
        <w:t xml:space="preserve">rigen Vertrauensbruch der DB AG. Erschwerend wirkt, </w:t>
      </w:r>
      <w:r w:rsidR="00624D91" w:rsidRPr="00E01D51">
        <w:rPr>
          <w:sz w:val="28"/>
        </w:rPr>
        <w:t xml:space="preserve"> das</w:t>
      </w:r>
      <w:r>
        <w:rPr>
          <w:sz w:val="28"/>
        </w:rPr>
        <w:t>s dabei das</w:t>
      </w:r>
      <w:r w:rsidR="00624D91" w:rsidRPr="00E01D51">
        <w:rPr>
          <w:sz w:val="28"/>
        </w:rPr>
        <w:t xml:space="preserve"> auf Jahresende 2009 auslaufende vertragliche Kündigungsrecht </w:t>
      </w:r>
      <w:r w:rsidR="0098226F" w:rsidRPr="00E01D51">
        <w:rPr>
          <w:sz w:val="28"/>
        </w:rPr>
        <w:t xml:space="preserve">nach § 2 Abs. 2 FinVe </w:t>
      </w:r>
      <w:r w:rsidR="00624D91" w:rsidRPr="00E01D51">
        <w:rPr>
          <w:sz w:val="28"/>
        </w:rPr>
        <w:t>vereitelt</w:t>
      </w:r>
      <w:r w:rsidR="00E2377E" w:rsidRPr="00E01D51">
        <w:rPr>
          <w:sz w:val="28"/>
        </w:rPr>
        <w:t xml:space="preserve"> wurde</w:t>
      </w:r>
      <w:r w:rsidR="00624D91" w:rsidRPr="00E01D51">
        <w:rPr>
          <w:sz w:val="28"/>
        </w:rPr>
        <w:t xml:space="preserve">, der Baubeginn des Projekts seit 1.02.2010 auf dieser Basis stattfand und </w:t>
      </w:r>
      <w:r w:rsidR="00E2377E" w:rsidRPr="00E01D51">
        <w:rPr>
          <w:sz w:val="28"/>
        </w:rPr>
        <w:t>durch das Vorenthalten der Information auch die darauf zu stützenden bürg</w:t>
      </w:r>
      <w:r w:rsidR="0098226F" w:rsidRPr="00E01D51">
        <w:rPr>
          <w:sz w:val="28"/>
        </w:rPr>
        <w:t xml:space="preserve">erschaftlichen Rechte nach </w:t>
      </w:r>
      <w:r>
        <w:rPr>
          <w:sz w:val="28"/>
        </w:rPr>
        <w:t xml:space="preserve">     </w:t>
      </w:r>
      <w:r w:rsidR="00E2377E" w:rsidRPr="00E01D51">
        <w:rPr>
          <w:sz w:val="28"/>
        </w:rPr>
        <w:t xml:space="preserve"> § 21</w:t>
      </w:r>
      <w:r>
        <w:rPr>
          <w:sz w:val="28"/>
        </w:rPr>
        <w:t xml:space="preserve">Absatz 3 </w:t>
      </w:r>
      <w:r w:rsidR="00E2377E" w:rsidRPr="00E01D51">
        <w:rPr>
          <w:sz w:val="28"/>
        </w:rPr>
        <w:t>GemO nicht wirksam ausgeübt werden konnten.</w:t>
      </w:r>
    </w:p>
    <w:p w:rsidR="00D5126E" w:rsidRDefault="00D5126E" w:rsidP="00C60A79">
      <w:pPr>
        <w:pStyle w:val="Listenabsatz"/>
        <w:ind w:left="1440"/>
        <w:rPr>
          <w:sz w:val="28"/>
        </w:rPr>
      </w:pPr>
    </w:p>
    <w:p w:rsidR="00140E97" w:rsidRPr="00035D57" w:rsidRDefault="00140E97" w:rsidP="00035D57">
      <w:pPr>
        <w:rPr>
          <w:sz w:val="28"/>
        </w:rPr>
      </w:pPr>
    </w:p>
    <w:p w:rsidR="00D5126E" w:rsidRPr="0098226F" w:rsidRDefault="00D5126E" w:rsidP="0098226F">
      <w:pPr>
        <w:pStyle w:val="Listenabsatz"/>
        <w:numPr>
          <w:ilvl w:val="0"/>
          <w:numId w:val="9"/>
        </w:numPr>
        <w:rPr>
          <w:sz w:val="28"/>
          <w:u w:val="single"/>
        </w:rPr>
      </w:pPr>
      <w:r w:rsidRPr="0098226F">
        <w:rPr>
          <w:sz w:val="28"/>
          <w:u w:val="single"/>
        </w:rPr>
        <w:t>Voraussetzungen nach § 60 VwVfG</w:t>
      </w:r>
    </w:p>
    <w:p w:rsidR="00D5126E" w:rsidRDefault="00D5126E" w:rsidP="00D5126E">
      <w:pPr>
        <w:pStyle w:val="Listenabsatz"/>
        <w:ind w:left="1080"/>
        <w:rPr>
          <w:sz w:val="28"/>
          <w:u w:val="single"/>
        </w:rPr>
      </w:pPr>
    </w:p>
    <w:p w:rsidR="00D5126E" w:rsidRDefault="00D5126E" w:rsidP="00D5126E">
      <w:pPr>
        <w:pStyle w:val="Listenabsatz"/>
        <w:numPr>
          <w:ilvl w:val="0"/>
          <w:numId w:val="12"/>
        </w:numPr>
        <w:rPr>
          <w:sz w:val="28"/>
        </w:rPr>
      </w:pPr>
      <w:r>
        <w:rPr>
          <w:sz w:val="28"/>
        </w:rPr>
        <w:t xml:space="preserve">Zunächst muss sich die in Frage stehende grundlegende Änderung der Verhältnisse auf die vertraglich relevanten </w:t>
      </w:r>
      <w:r w:rsidR="00CF402B">
        <w:rPr>
          <w:sz w:val="28"/>
        </w:rPr>
        <w:t>tatsächlichen oder rechtlichen Umstände beziehen (Kopp-Ramsauer, VwVfG, 13. Aufl. § 60 Rn 19). Die Finanzierungsanteile der Projektpartner und die Gesamtkosten von S 21 spielten, wie oben ausgeführt, eine für das Zustandekommen des Vertrags wesentliche Rolle.</w:t>
      </w:r>
    </w:p>
    <w:p w:rsidR="00CF402B" w:rsidRDefault="00CF402B" w:rsidP="00D5126E">
      <w:pPr>
        <w:pStyle w:val="Listenabsatz"/>
        <w:numPr>
          <w:ilvl w:val="0"/>
          <w:numId w:val="12"/>
        </w:numPr>
        <w:rPr>
          <w:sz w:val="28"/>
        </w:rPr>
      </w:pPr>
      <w:r>
        <w:rPr>
          <w:sz w:val="28"/>
        </w:rPr>
        <w:t>Mit der Änderung der Lage dürfen die Vertragspartner nicht gerechnet haben (Kopp-Ramsauer aaO). Auch diese Voraussetzung ist vorliegend zu bejahen, weil sie das Überschreiten der oberen Kostengrenze inclusive Risikopuffer von 1450 Millionen Euro nur in denkbar schwächster Art und substantiell gar nicht geregelt haben, indem sie die „Sprechklausel“</w:t>
      </w:r>
      <w:r w:rsidR="00153DFB">
        <w:rPr>
          <w:sz w:val="28"/>
        </w:rPr>
        <w:t xml:space="preserve">des § 8 Abs. 4 FinVe </w:t>
      </w:r>
      <w:r>
        <w:rPr>
          <w:sz w:val="28"/>
        </w:rPr>
        <w:t xml:space="preserve"> schufen</w:t>
      </w:r>
      <w:r w:rsidR="00153DFB">
        <w:rPr>
          <w:sz w:val="28"/>
        </w:rPr>
        <w:t>.</w:t>
      </w:r>
    </w:p>
    <w:p w:rsidR="000B0AE1" w:rsidRDefault="00153DFB" w:rsidP="00D5126E">
      <w:pPr>
        <w:pStyle w:val="Listenabsatz"/>
        <w:numPr>
          <w:ilvl w:val="0"/>
          <w:numId w:val="12"/>
        </w:numPr>
        <w:rPr>
          <w:sz w:val="28"/>
        </w:rPr>
      </w:pPr>
      <w:r>
        <w:rPr>
          <w:sz w:val="28"/>
        </w:rPr>
        <w:t>Weiterhin muss die Änderung der Lage so erheblich sein, dass der Vertrag bei Kenntnis der Umstände nicht mit demselben Inhalt geschlossen worden wäre (BVerwGE 87,77;</w:t>
      </w:r>
      <w:r w:rsidR="0098226F">
        <w:rPr>
          <w:sz w:val="28"/>
        </w:rPr>
        <w:t xml:space="preserve"> BVerwG, Urteil vom </w:t>
      </w:r>
      <w:r>
        <w:rPr>
          <w:sz w:val="28"/>
        </w:rPr>
        <w:t xml:space="preserve"> </w:t>
      </w:r>
      <w:r w:rsidR="008A4949">
        <w:rPr>
          <w:sz w:val="28"/>
        </w:rPr>
        <w:t xml:space="preserve">18.07.2012 – 8 C 4/11 </w:t>
      </w:r>
      <w:r w:rsidR="00EF0EAD">
        <w:rPr>
          <w:sz w:val="28"/>
        </w:rPr>
        <w:t>–</w:t>
      </w:r>
      <w:r w:rsidR="008A4949">
        <w:rPr>
          <w:sz w:val="28"/>
        </w:rPr>
        <w:t xml:space="preserve"> </w:t>
      </w:r>
      <w:r w:rsidR="00EF0EAD">
        <w:rPr>
          <w:sz w:val="28"/>
        </w:rPr>
        <w:t xml:space="preserve">Rn 40, 46, zitiert nach juris, </w:t>
      </w:r>
      <w:r>
        <w:rPr>
          <w:sz w:val="28"/>
        </w:rPr>
        <w:t>OVG Münster DVBl 1975, 47, Kopp-Ramsauer aaO ). Das gilt in jedem Falle in de</w:t>
      </w:r>
      <w:r w:rsidR="00E2377E">
        <w:rPr>
          <w:sz w:val="28"/>
        </w:rPr>
        <w:t>r Weise, dass in Kenntnis der etwa</w:t>
      </w:r>
      <w:r>
        <w:rPr>
          <w:sz w:val="28"/>
        </w:rPr>
        <w:t xml:space="preserve"> 50 % höheren Gesamtkosten des Projekts das Zustandekomm</w:t>
      </w:r>
      <w:r w:rsidR="000B0AE1">
        <w:rPr>
          <w:sz w:val="28"/>
        </w:rPr>
        <w:t xml:space="preserve">en des Vertrags unwahrscheinlich </w:t>
      </w:r>
      <w:r>
        <w:rPr>
          <w:sz w:val="28"/>
        </w:rPr>
        <w:t xml:space="preserve"> gewesen wäre</w:t>
      </w:r>
      <w:r w:rsidR="00EF0EAD">
        <w:rPr>
          <w:sz w:val="28"/>
        </w:rPr>
        <w:t xml:space="preserve"> und jedenfalls nicht mit dem bestehenden Inhalt abgeschlossen worden wäre</w:t>
      </w:r>
      <w:r w:rsidR="000B0AE1">
        <w:rPr>
          <w:sz w:val="28"/>
        </w:rPr>
        <w:t>.</w:t>
      </w:r>
      <w:r w:rsidR="00EF0EAD">
        <w:rPr>
          <w:sz w:val="28"/>
        </w:rPr>
        <w:t xml:space="preserve"> Nach § 2 Absatz 1 FinVe war die Frage der Wirtschaftlichkeit des Projekts von zentraler Bedeutung. Nach Seite 6 Ziffer 3 des Bahn-Dokuments vom 10.12.2009 laut  Anlage K 5 war das Projekt bis zu einem Gesamtwertumfang von maximal 4.769 Mio. Euro als „ausgeglichen“ anzusehen. </w:t>
      </w:r>
      <w:r w:rsidR="000B0AE1">
        <w:rPr>
          <w:sz w:val="28"/>
        </w:rPr>
        <w:t xml:space="preserve"> Bekanntlich hat Vorstandschef Rüdiger Grube </w:t>
      </w:r>
      <w:r w:rsidR="00EF0EAD">
        <w:rPr>
          <w:sz w:val="28"/>
        </w:rPr>
        <w:t xml:space="preserve">deshalb </w:t>
      </w:r>
      <w:r w:rsidR="000B0AE1">
        <w:rPr>
          <w:sz w:val="28"/>
        </w:rPr>
        <w:t>nach dem „Offenbarungseid“ vom 12.12.2012 erklärt, man würde das Projekt S 21 heute wegen fehlender Wirtschaftlichkeit nicht mehr beginnen.</w:t>
      </w:r>
    </w:p>
    <w:p w:rsidR="00FE3FB2" w:rsidRDefault="000B0AE1" w:rsidP="00D5126E">
      <w:pPr>
        <w:pStyle w:val="Listenabsatz"/>
        <w:numPr>
          <w:ilvl w:val="0"/>
          <w:numId w:val="12"/>
        </w:numPr>
        <w:rPr>
          <w:sz w:val="28"/>
        </w:rPr>
      </w:pPr>
      <w:r>
        <w:rPr>
          <w:sz w:val="28"/>
        </w:rPr>
        <w:t xml:space="preserve">Die Antragsgegnerin wendet allerdings ein (Stellungnahme Dr. Kirchberg, S. 6), eine grundlegende Änderung der Verhältnisse sei nicht eingetreten. Die LHS Stuttgart sei nämlich der falsche Adressat, weil bei Kostensteigerungen </w:t>
      </w:r>
      <w:r w:rsidR="00FE3FB2">
        <w:rPr>
          <w:sz w:val="28"/>
        </w:rPr>
        <w:t>oberhalb 4,526 Mrd. € Gespräche der EIU mit dem Land aufzunehmen seien. Geltend gemacht wird auch, die Finanzierungsverpflichtungen der Antrags-gegnerin seien in § 8 Absatz 3 FinVe abschließend geregelt und würden über die festgelegten Beträge nicht hinausgehen.</w:t>
      </w:r>
    </w:p>
    <w:p w:rsidR="003F0A8A" w:rsidRDefault="00FE3FB2" w:rsidP="00FE3FB2">
      <w:pPr>
        <w:pStyle w:val="Listenabsatz"/>
        <w:ind w:left="1440"/>
        <w:rPr>
          <w:sz w:val="28"/>
        </w:rPr>
      </w:pPr>
      <w:r>
        <w:rPr>
          <w:sz w:val="28"/>
        </w:rPr>
        <w:t>Diesen Einwänden steht entgegen:</w:t>
      </w:r>
    </w:p>
    <w:p w:rsidR="00E2377E" w:rsidRDefault="00E2377E" w:rsidP="003F0A8A">
      <w:pPr>
        <w:pStyle w:val="Listenabsatz"/>
        <w:ind w:left="1440"/>
        <w:rPr>
          <w:sz w:val="28"/>
        </w:rPr>
      </w:pPr>
      <w:r>
        <w:rPr>
          <w:sz w:val="28"/>
        </w:rPr>
        <w:t xml:space="preserve">- Die gesetzlichen Rechte der Antragsgegnerin nach § 60 </w:t>
      </w:r>
      <w:r w:rsidR="00B25D6F">
        <w:rPr>
          <w:sz w:val="28"/>
        </w:rPr>
        <w:t xml:space="preserve"> VwVfG </w:t>
      </w:r>
      <w:r w:rsidR="00FE3FB2" w:rsidRPr="003F0A8A">
        <w:rPr>
          <w:sz w:val="28"/>
        </w:rPr>
        <w:t xml:space="preserve">sind originär und stärker als Verfahrensregelungen des </w:t>
      </w:r>
      <w:r>
        <w:rPr>
          <w:sz w:val="28"/>
        </w:rPr>
        <w:t xml:space="preserve">§ 8 </w:t>
      </w:r>
      <w:r w:rsidR="00FE3FB2" w:rsidRPr="003F0A8A">
        <w:rPr>
          <w:sz w:val="28"/>
        </w:rPr>
        <w:t xml:space="preserve">FinVe. </w:t>
      </w:r>
      <w:r>
        <w:rPr>
          <w:sz w:val="28"/>
        </w:rPr>
        <w:t xml:space="preserve">- - </w:t>
      </w:r>
      <w:r w:rsidR="00FE3FB2" w:rsidRPr="003F0A8A">
        <w:rPr>
          <w:sz w:val="28"/>
        </w:rPr>
        <w:t>Sicher ist, dass die Antragsgegnerin</w:t>
      </w:r>
      <w:r w:rsidR="00385921">
        <w:rPr>
          <w:sz w:val="28"/>
        </w:rPr>
        <w:t xml:space="preserve"> – in gleicher Weise </w:t>
      </w:r>
      <w:r w:rsidR="003F0A8A" w:rsidRPr="003F0A8A">
        <w:rPr>
          <w:sz w:val="28"/>
        </w:rPr>
        <w:t xml:space="preserve"> wie die anderen Projektpartner </w:t>
      </w:r>
      <w:r w:rsidR="00CA7496">
        <w:rPr>
          <w:sz w:val="28"/>
        </w:rPr>
        <w:t xml:space="preserve">- </w:t>
      </w:r>
      <w:r w:rsidR="003F0A8A" w:rsidRPr="003F0A8A">
        <w:rPr>
          <w:sz w:val="28"/>
        </w:rPr>
        <w:t xml:space="preserve">gegen Mehrkosten </w:t>
      </w:r>
      <w:r w:rsidR="00CA7496">
        <w:rPr>
          <w:sz w:val="28"/>
        </w:rPr>
        <w:t>vertraglich nicht abgesichert ist, da die Sprechklausel des § 8 Abs. 4 FinVe in der Sache nichts klärt.</w:t>
      </w:r>
      <w:r w:rsidR="002853B7">
        <w:rPr>
          <w:sz w:val="28"/>
        </w:rPr>
        <w:t xml:space="preserve"> </w:t>
      </w:r>
    </w:p>
    <w:p w:rsidR="00E2377E" w:rsidRDefault="00E2377E" w:rsidP="003F0A8A">
      <w:pPr>
        <w:pStyle w:val="Listenabsatz"/>
        <w:ind w:left="1440"/>
        <w:rPr>
          <w:sz w:val="28"/>
        </w:rPr>
      </w:pPr>
      <w:r>
        <w:rPr>
          <w:sz w:val="28"/>
        </w:rPr>
        <w:t xml:space="preserve">- </w:t>
      </w:r>
      <w:r w:rsidR="002853B7">
        <w:rPr>
          <w:sz w:val="28"/>
        </w:rPr>
        <w:t>Die Beschlussfassung des DB-Aufsichtsrats vom 5. März 2013, „</w:t>
      </w:r>
      <w:r w:rsidR="00836D7B">
        <w:rPr>
          <w:sz w:val="28"/>
        </w:rPr>
        <w:t xml:space="preserve">dass der Vorstand … auf dieser Grundlage mit den Projektpartnern verhandelt und </w:t>
      </w:r>
      <w:r w:rsidR="002853B7">
        <w:rPr>
          <w:sz w:val="28"/>
        </w:rPr>
        <w:t xml:space="preserve"> im Fall des Scheiterns der Verhandlungen</w:t>
      </w:r>
      <w:r w:rsidR="00836D7B">
        <w:rPr>
          <w:sz w:val="28"/>
        </w:rPr>
        <w:t xml:space="preserve"> die jeweils einklagbaren Ansprüche unverzüglich gerichtlich geltend</w:t>
      </w:r>
      <w:r w:rsidR="00CA7496">
        <w:rPr>
          <w:sz w:val="28"/>
        </w:rPr>
        <w:t xml:space="preserve"> </w:t>
      </w:r>
      <w:r w:rsidR="00836D7B">
        <w:rPr>
          <w:sz w:val="28"/>
        </w:rPr>
        <w:t>machen wird“, klammert die Antragsgegnerin als Projektpartnerin</w:t>
      </w:r>
      <w:r w:rsidR="00B25D6F">
        <w:rPr>
          <w:sz w:val="28"/>
        </w:rPr>
        <w:t xml:space="preserve"> gerade </w:t>
      </w:r>
      <w:r w:rsidR="00836D7B">
        <w:rPr>
          <w:sz w:val="28"/>
        </w:rPr>
        <w:t xml:space="preserve"> nicht aus der möglichen Mithaftung für Mehrkosten aus.</w:t>
      </w:r>
    </w:p>
    <w:p w:rsidR="00E2377E" w:rsidRDefault="00E2377E" w:rsidP="003F0A8A">
      <w:pPr>
        <w:pStyle w:val="Listenabsatz"/>
        <w:ind w:left="1440"/>
        <w:rPr>
          <w:sz w:val="28"/>
        </w:rPr>
      </w:pPr>
      <w:r>
        <w:rPr>
          <w:sz w:val="28"/>
        </w:rPr>
        <w:t xml:space="preserve">- </w:t>
      </w:r>
      <w:r w:rsidR="00B25D6F">
        <w:rPr>
          <w:sz w:val="28"/>
        </w:rPr>
        <w:t>Die Tatsache, dass das Land im Verhältnis zu den EIU „Poolführer“ ist (§ 9 Satz 2 FinVe), unterstreicht zwar seine hervorgehobene Bedeutung, enthält aber für die LHS keine Haftungsfreistellung.</w:t>
      </w:r>
    </w:p>
    <w:p w:rsidR="00CA7496" w:rsidRDefault="00E2377E" w:rsidP="003F0A8A">
      <w:pPr>
        <w:pStyle w:val="Listenabsatz"/>
        <w:ind w:left="1440"/>
        <w:rPr>
          <w:sz w:val="28"/>
        </w:rPr>
      </w:pPr>
      <w:r>
        <w:rPr>
          <w:sz w:val="28"/>
        </w:rPr>
        <w:t xml:space="preserve">- </w:t>
      </w:r>
      <w:r w:rsidR="00B25D6F">
        <w:rPr>
          <w:sz w:val="28"/>
        </w:rPr>
        <w:t xml:space="preserve"> </w:t>
      </w:r>
      <w:r w:rsidR="00CA7496">
        <w:rPr>
          <w:sz w:val="28"/>
        </w:rPr>
        <w:t>Auch könnte die Antragsgegnerin</w:t>
      </w:r>
      <w:r w:rsidR="003F0A8A" w:rsidRPr="003F0A8A">
        <w:rPr>
          <w:sz w:val="28"/>
        </w:rPr>
        <w:t xml:space="preserve"> </w:t>
      </w:r>
      <w:r w:rsidR="00FE3FB2" w:rsidRPr="003F0A8A">
        <w:rPr>
          <w:sz w:val="28"/>
        </w:rPr>
        <w:t xml:space="preserve"> </w:t>
      </w:r>
      <w:r w:rsidR="003F0A8A" w:rsidRPr="003F0A8A">
        <w:rPr>
          <w:sz w:val="28"/>
        </w:rPr>
        <w:t>gera</w:t>
      </w:r>
      <w:r w:rsidR="00385921">
        <w:rPr>
          <w:sz w:val="28"/>
        </w:rPr>
        <w:t xml:space="preserve">de dadurch, dass sie unbesehen </w:t>
      </w:r>
      <w:r w:rsidR="003F0A8A" w:rsidRPr="003F0A8A">
        <w:rPr>
          <w:sz w:val="28"/>
        </w:rPr>
        <w:t>trotz des Wegfalls der Geschäftsgrundlage alle vertraglichen Pflichten weiter erfüllt, ihre Rechte auf Anpassung oder Kündigung der Projektverträge verwirken</w:t>
      </w:r>
      <w:r w:rsidR="003F0A8A">
        <w:rPr>
          <w:sz w:val="28"/>
        </w:rPr>
        <w:t xml:space="preserve">. Sie würde sich damit auch, sobald die DB AG bei </w:t>
      </w:r>
      <w:r w:rsidR="00B102F9">
        <w:rPr>
          <w:sz w:val="28"/>
        </w:rPr>
        <w:t>neuen Kostensteigerungen dem Dilemma der Unwirtschaftlichkeit ausgesetzt wäre, verschärft der Zwangslage von unerwünschten Zuschusszahlungen ausliefe</w:t>
      </w:r>
      <w:r w:rsidR="00836D7B">
        <w:rPr>
          <w:sz w:val="28"/>
        </w:rPr>
        <w:t>r</w:t>
      </w:r>
      <w:r w:rsidR="00D935EF">
        <w:rPr>
          <w:sz w:val="28"/>
        </w:rPr>
        <w:t>n (siehe dazu die</w:t>
      </w:r>
      <w:r w:rsidR="00CA7496">
        <w:rPr>
          <w:sz w:val="28"/>
        </w:rPr>
        <w:t xml:space="preserve"> Unter</w:t>
      </w:r>
      <w:r w:rsidR="000D2436">
        <w:rPr>
          <w:sz w:val="28"/>
        </w:rPr>
        <w:t>schriften</w:t>
      </w:r>
      <w:r w:rsidR="00B102F9">
        <w:rPr>
          <w:sz w:val="28"/>
        </w:rPr>
        <w:t>dliste</w:t>
      </w:r>
      <w:r w:rsidR="00836D7B">
        <w:rPr>
          <w:sz w:val="28"/>
        </w:rPr>
        <w:t xml:space="preserve"> Anlage K 2</w:t>
      </w:r>
      <w:r w:rsidR="00B102F9">
        <w:rPr>
          <w:sz w:val="28"/>
        </w:rPr>
        <w:t>).</w:t>
      </w:r>
      <w:r w:rsidR="003F0A8A">
        <w:rPr>
          <w:sz w:val="28"/>
        </w:rPr>
        <w:t xml:space="preserve"> </w:t>
      </w:r>
    </w:p>
    <w:p w:rsidR="00D935EF" w:rsidRPr="003D263C" w:rsidRDefault="00CA7496" w:rsidP="003F0A8A">
      <w:pPr>
        <w:pStyle w:val="Listenabsatz"/>
        <w:ind w:left="1440"/>
        <w:rPr>
          <w:sz w:val="28"/>
          <w:u w:val="single"/>
        </w:rPr>
      </w:pPr>
      <w:r w:rsidRPr="003D263C">
        <w:rPr>
          <w:sz w:val="28"/>
          <w:u w:val="single"/>
        </w:rPr>
        <w:t xml:space="preserve">Es </w:t>
      </w:r>
      <w:r w:rsidR="00D935EF" w:rsidRPr="003D263C">
        <w:rPr>
          <w:sz w:val="28"/>
          <w:u w:val="single"/>
        </w:rPr>
        <w:t>ist nach alledem unhaltbar</w:t>
      </w:r>
      <w:r w:rsidR="00B25D6F" w:rsidRPr="003D263C">
        <w:rPr>
          <w:sz w:val="28"/>
          <w:u w:val="single"/>
        </w:rPr>
        <w:t>, dass die Antragsgegnerin die grundlegende Änderung der Lage schlicht leugnet und so tut, als sei sie davon nicht betroffen.</w:t>
      </w:r>
      <w:r w:rsidR="003F0A8A" w:rsidRPr="003D263C">
        <w:rPr>
          <w:sz w:val="28"/>
          <w:u w:val="single"/>
        </w:rPr>
        <w:t xml:space="preserve"> </w:t>
      </w:r>
    </w:p>
    <w:p w:rsidR="00D935EF" w:rsidRDefault="00D935EF" w:rsidP="00D935EF">
      <w:pPr>
        <w:pStyle w:val="Listenabsatz"/>
        <w:ind w:left="1440"/>
        <w:rPr>
          <w:sz w:val="28"/>
        </w:rPr>
      </w:pPr>
    </w:p>
    <w:p w:rsidR="00153DFB" w:rsidRPr="00D935EF" w:rsidRDefault="00D935EF" w:rsidP="0098226F">
      <w:pPr>
        <w:pStyle w:val="Listenabsatz"/>
        <w:numPr>
          <w:ilvl w:val="0"/>
          <w:numId w:val="9"/>
        </w:numPr>
        <w:rPr>
          <w:sz w:val="28"/>
          <w:u w:val="single"/>
        </w:rPr>
      </w:pPr>
      <w:r w:rsidRPr="00D935EF">
        <w:rPr>
          <w:sz w:val="28"/>
          <w:u w:val="single"/>
        </w:rPr>
        <w:t>Rechtsfolgen nach § 60 VwVfG</w:t>
      </w:r>
      <w:r w:rsidR="00153DFB" w:rsidRPr="00D935EF">
        <w:rPr>
          <w:sz w:val="28"/>
          <w:u w:val="single"/>
        </w:rPr>
        <w:t xml:space="preserve"> </w:t>
      </w:r>
    </w:p>
    <w:p w:rsidR="005A0884" w:rsidRPr="00D5126E" w:rsidRDefault="005A0884" w:rsidP="005A0884">
      <w:pPr>
        <w:pStyle w:val="Listenabsatz"/>
        <w:ind w:left="1440"/>
        <w:rPr>
          <w:sz w:val="28"/>
          <w:u w:val="single"/>
        </w:rPr>
      </w:pPr>
    </w:p>
    <w:p w:rsidR="003B1423" w:rsidRDefault="003D263C" w:rsidP="00783A1F">
      <w:pPr>
        <w:pStyle w:val="Listenabsatz"/>
        <w:rPr>
          <w:sz w:val="28"/>
        </w:rPr>
      </w:pPr>
      <w:r>
        <w:rPr>
          <w:sz w:val="28"/>
        </w:rPr>
        <w:t>D</w:t>
      </w:r>
      <w:r w:rsidR="003B1423">
        <w:rPr>
          <w:sz w:val="28"/>
        </w:rPr>
        <w:t xml:space="preserve">urch die wesentliche Änderung der Verhältnisse </w:t>
      </w:r>
      <w:r>
        <w:rPr>
          <w:sz w:val="28"/>
        </w:rPr>
        <w:t xml:space="preserve">erhält die </w:t>
      </w:r>
      <w:r w:rsidR="003B1423">
        <w:rPr>
          <w:sz w:val="28"/>
        </w:rPr>
        <w:t>betroffene Vertragsp</w:t>
      </w:r>
      <w:r>
        <w:rPr>
          <w:sz w:val="28"/>
        </w:rPr>
        <w:t>artei  den gesetzlichen  Anspruch auf Vertragsan</w:t>
      </w:r>
      <w:r w:rsidR="003B1423">
        <w:rPr>
          <w:sz w:val="28"/>
        </w:rPr>
        <w:t xml:space="preserve">passung bzw. auf ein außerordentliches Kündigungsrecht zur Lösung des Vertrags für die Zukunft. </w:t>
      </w:r>
      <w:r w:rsidR="00D01420">
        <w:rPr>
          <w:sz w:val="28"/>
        </w:rPr>
        <w:t xml:space="preserve">Für die </w:t>
      </w:r>
      <w:r w:rsidR="00590A59">
        <w:rPr>
          <w:sz w:val="28"/>
        </w:rPr>
        <w:t>Frage, welche Rechtsfolge der</w:t>
      </w:r>
      <w:r w:rsidR="00D01420">
        <w:rPr>
          <w:sz w:val="28"/>
        </w:rPr>
        <w:t xml:space="preserve"> Landeshauptstadt Stuttgart </w:t>
      </w:r>
      <w:r w:rsidR="00590A59">
        <w:rPr>
          <w:sz w:val="28"/>
        </w:rPr>
        <w:t>zusteht und ob das Kündigungsrecht gemäß</w:t>
      </w:r>
      <w:r w:rsidR="00D01420">
        <w:rPr>
          <w:sz w:val="28"/>
        </w:rPr>
        <w:t xml:space="preserve"> dem Bü</w:t>
      </w:r>
      <w:r w:rsidR="00590A59">
        <w:rPr>
          <w:sz w:val="28"/>
        </w:rPr>
        <w:t xml:space="preserve">rgerbegehren Storno 21 begründet </w:t>
      </w:r>
      <w:r w:rsidR="00D01420">
        <w:rPr>
          <w:sz w:val="28"/>
        </w:rPr>
        <w:t xml:space="preserve"> ist, erscheint wesentlich:</w:t>
      </w:r>
    </w:p>
    <w:p w:rsidR="00D01420" w:rsidRDefault="00D01420" w:rsidP="00783A1F">
      <w:pPr>
        <w:pStyle w:val="Listenabsatz"/>
        <w:rPr>
          <w:sz w:val="28"/>
        </w:rPr>
      </w:pPr>
    </w:p>
    <w:p w:rsidR="00D01420" w:rsidRDefault="00D01420" w:rsidP="00D01420">
      <w:pPr>
        <w:pStyle w:val="Listenabsatz"/>
        <w:numPr>
          <w:ilvl w:val="0"/>
          <w:numId w:val="13"/>
        </w:numPr>
        <w:rPr>
          <w:sz w:val="28"/>
        </w:rPr>
      </w:pPr>
      <w:r>
        <w:rPr>
          <w:sz w:val="28"/>
        </w:rPr>
        <w:t xml:space="preserve">Würde es mit dem Bürgerbegehren allein um die Haftung für die Mehrkosten des Projekts S 21 oberhalb von 4,526 Mrd. € gehen, wäre diese Frage </w:t>
      </w:r>
      <w:r w:rsidR="00CA4048">
        <w:rPr>
          <w:sz w:val="28"/>
        </w:rPr>
        <w:t xml:space="preserve">wohl durch Vertragsanpassung zu Lasten dessen zu lösen, der die Mehrkosten als Bauträger (§ 4 FinVe) in der Planung und Ausführung zu verantworten hat. Das Bürgerbegehren greift aber darüber klar hinaus, wie von der Antragsgegnerin gänzlich übersehen wird: </w:t>
      </w:r>
    </w:p>
    <w:p w:rsidR="00CA4048" w:rsidRDefault="00CA4048" w:rsidP="00CA4048">
      <w:pPr>
        <w:pStyle w:val="Listenabsatz"/>
        <w:ind w:left="1080"/>
        <w:rPr>
          <w:sz w:val="28"/>
        </w:rPr>
      </w:pPr>
      <w:r>
        <w:rPr>
          <w:sz w:val="28"/>
        </w:rPr>
        <w:t>Es geht darum, dass die DB AG der Antragsgegnerin drei Jahre hindurch die drastische Überschreitung des vereinbarten Kosten-rahmens von 4,526 Mrd. € verschwiege</w:t>
      </w:r>
      <w:r w:rsidR="00AB61E8">
        <w:rPr>
          <w:sz w:val="28"/>
        </w:rPr>
        <w:t>n hat. Das betrifft die von DB Netze aus Fehlplanungen abgeleitete „Kalkulationsdifferenz“ von 1100 Millionen</w:t>
      </w:r>
      <w:r w:rsidR="00590A59">
        <w:rPr>
          <w:sz w:val="28"/>
        </w:rPr>
        <w:t xml:space="preserve"> Euro (Anlage K 4</w:t>
      </w:r>
      <w:r w:rsidR="00AB61E8">
        <w:rPr>
          <w:sz w:val="28"/>
        </w:rPr>
        <w:t>), in der die geschönten Einspar-potentiale vo</w:t>
      </w:r>
      <w:r w:rsidR="00590A59">
        <w:rPr>
          <w:sz w:val="28"/>
        </w:rPr>
        <w:t>n 891 Millionen Euro (Anlage K 5</w:t>
      </w:r>
      <w:r w:rsidR="00AB61E8">
        <w:rPr>
          <w:sz w:val="28"/>
        </w:rPr>
        <w:t>) enthalten sind.</w:t>
      </w:r>
    </w:p>
    <w:p w:rsidR="00AB61E8" w:rsidRDefault="00AB61E8" w:rsidP="00CA4048">
      <w:pPr>
        <w:pStyle w:val="Listenabsatz"/>
        <w:ind w:left="1080"/>
        <w:rPr>
          <w:sz w:val="28"/>
        </w:rPr>
      </w:pPr>
    </w:p>
    <w:p w:rsidR="003D263C" w:rsidRDefault="003D263C" w:rsidP="003D263C">
      <w:pPr>
        <w:pStyle w:val="Listenabsatz"/>
        <w:numPr>
          <w:ilvl w:val="0"/>
          <w:numId w:val="13"/>
        </w:numPr>
        <w:rPr>
          <w:sz w:val="28"/>
        </w:rPr>
      </w:pPr>
      <w:r>
        <w:rPr>
          <w:sz w:val="28"/>
        </w:rPr>
        <w:t xml:space="preserve">Selbst wenn eine Vertragsanpassung derart erfolgen würde, dass durch eine Ergänzung des Finanzierungsvertrages vom 2.04.2009 </w:t>
      </w:r>
      <w:r w:rsidR="00B30C9B">
        <w:rPr>
          <w:sz w:val="28"/>
        </w:rPr>
        <w:t>einvernehmlich oder durch gerichtliche Entscheidung festgestellt würde, dass die DB AG für die 4,526 Milliarden Euro übersteigenden Mehrkosten als Vorhabenträgerin nach § 4 FinVe aufzukommen habe, wäre die Erschütterung des Vertragsverhältnisses durch zumindest grobe Unfähigkeit, wenn nicht Arglist und den Jahre anhaltenden Vertrauensbruch nicht aufzuwiegen.</w:t>
      </w:r>
    </w:p>
    <w:p w:rsidR="00B30C9B" w:rsidRDefault="00B30C9B" w:rsidP="00B30C9B">
      <w:pPr>
        <w:pStyle w:val="Listenabsatz"/>
        <w:ind w:left="1080"/>
        <w:rPr>
          <w:sz w:val="28"/>
        </w:rPr>
      </w:pPr>
      <w:r>
        <w:rPr>
          <w:sz w:val="28"/>
        </w:rPr>
        <w:t>Zu erinnern ist an die Feststellungen von Oberbürgermeister Fritz Kuhn anlässlich seiner Amtsübernahme, über welche die StZ wie folgt berichtete:</w:t>
      </w:r>
    </w:p>
    <w:p w:rsidR="00B30C9B" w:rsidRPr="00500D69" w:rsidRDefault="00B30C9B" w:rsidP="00B30C9B">
      <w:pPr>
        <w:pStyle w:val="Listenabsatz"/>
        <w:ind w:left="1080"/>
        <w:rPr>
          <w:i/>
          <w:sz w:val="28"/>
        </w:rPr>
      </w:pPr>
      <w:r w:rsidRPr="00500D69">
        <w:rPr>
          <w:i/>
          <w:sz w:val="28"/>
        </w:rPr>
        <w:t xml:space="preserve">„Unter Applaus auch seines Vorgängers Wolfgang Schuster und des Ersten Bürgermeisters Michael Föll (beide CDU) sprach Kuhn von einer Vertrauenskrise bei dem Projekt und setzte hinzu: „Die Karre ist an die Wand gefahren.“ Die am 12. Dezember </w:t>
      </w:r>
      <w:r w:rsidR="00500D69" w:rsidRPr="00500D69">
        <w:rPr>
          <w:i/>
          <w:sz w:val="28"/>
        </w:rPr>
        <w:t>von der Bahn eingeräumte Kostenexplosion um bis zu 2,3 Milliarden Euro habe ihn schockier</w:t>
      </w:r>
      <w:r w:rsidR="00590A59">
        <w:rPr>
          <w:i/>
          <w:sz w:val="28"/>
        </w:rPr>
        <w:t>t, zumal sechs Wochen zuvor im L</w:t>
      </w:r>
      <w:r w:rsidR="00500D69" w:rsidRPr="00500D69">
        <w:rPr>
          <w:i/>
          <w:sz w:val="28"/>
        </w:rPr>
        <w:t>enkungskreis den Projektpartnern die notwendige Erhöhung des Investitionsvolumens vorenthalten sei: „So kann man mit der Bevölkerung, dem Gemeinderat, aber auch mit den Projektunterstützern nicht umgehen.“</w:t>
      </w:r>
    </w:p>
    <w:p w:rsidR="00500D69" w:rsidRDefault="00500D69" w:rsidP="00B30C9B">
      <w:pPr>
        <w:pStyle w:val="Listenabsatz"/>
        <w:ind w:left="1080"/>
        <w:rPr>
          <w:sz w:val="28"/>
        </w:rPr>
      </w:pPr>
    </w:p>
    <w:p w:rsidR="00500D69" w:rsidRDefault="00500D69" w:rsidP="00B30C9B">
      <w:pPr>
        <w:pStyle w:val="Listenabsatz"/>
        <w:ind w:left="1080"/>
        <w:rPr>
          <w:sz w:val="28"/>
        </w:rPr>
      </w:pPr>
      <w:r>
        <w:rPr>
          <w:sz w:val="28"/>
        </w:rPr>
        <w:t>Beweis</w:t>
      </w:r>
      <w:r w:rsidRPr="00747BEE">
        <w:rPr>
          <w:sz w:val="28"/>
        </w:rPr>
        <w:t xml:space="preserve">: </w:t>
      </w:r>
      <w:hyperlink r:id="rId8" w:history="1">
        <w:r w:rsidR="00747BEE" w:rsidRPr="00747BEE">
          <w:rPr>
            <w:rStyle w:val="Hyperlink"/>
            <w:sz w:val="28"/>
            <w:u w:val="none"/>
          </w:rPr>
          <w:t>http://www.stuttgarter-zeitung.de/inhalt.kuhn-ueber-stuttgart-21-ob-frotz-kuhn-will-ueber-alternativen-zu-s21-reden.e03b7c65-b2ff-4eal-893a-7d74197e48b</w:t>
        </w:r>
      </w:hyperlink>
    </w:p>
    <w:p w:rsidR="00747BEE" w:rsidRDefault="00747BEE" w:rsidP="00B30C9B">
      <w:pPr>
        <w:pStyle w:val="Listenabsatz"/>
        <w:ind w:left="1080"/>
        <w:rPr>
          <w:sz w:val="28"/>
        </w:rPr>
      </w:pPr>
    </w:p>
    <w:p w:rsidR="00747BEE" w:rsidRDefault="00747BEE" w:rsidP="00747BEE">
      <w:pPr>
        <w:pStyle w:val="Listenabsatz"/>
        <w:numPr>
          <w:ilvl w:val="0"/>
          <w:numId w:val="13"/>
        </w:numPr>
        <w:rPr>
          <w:sz w:val="28"/>
        </w:rPr>
      </w:pPr>
      <w:r>
        <w:rPr>
          <w:sz w:val="28"/>
        </w:rPr>
        <w:t>Zieht man vergleichsweise die Rechtsprechung zum wichtigen Kündigungsgrund  infolge  grundlegender Änderung der Verhältnisse bei  Dauerschuldverhältnissen nach § 314 BGB heran, dann fällt auf:</w:t>
      </w:r>
    </w:p>
    <w:p w:rsidR="00747BEE" w:rsidRDefault="00747BEE" w:rsidP="00747BEE">
      <w:pPr>
        <w:pStyle w:val="Listenabsatz"/>
        <w:ind w:left="1080"/>
        <w:rPr>
          <w:sz w:val="28"/>
        </w:rPr>
      </w:pPr>
      <w:r>
        <w:rPr>
          <w:sz w:val="28"/>
        </w:rPr>
        <w:t xml:space="preserve">Es käme darauf an, ob Tatsachen vorliegen, die unter Berücksichtigung aller Umstände und unter Abwägung der beiderseitigen Interessen die Fortsetzung des Vertrags für den Kündigenden unzumutbar machen ((BGH NJW 2012, 376). Die Kündigungsgründe müssen im Risikobereich des Kündigungsgegners liegen. </w:t>
      </w:r>
      <w:r w:rsidR="00E60A01">
        <w:rPr>
          <w:sz w:val="28"/>
        </w:rPr>
        <w:t>Ein Kündigungsrecht ist ausgeschlossen, wenn sich die Störung  durch Anpassung des Vertrags an die veränderten Verhältnisse beseitigen lässt und beiden Parteien die Fortsetzung des Vertrags zuzumuten ist</w:t>
      </w:r>
      <w:r w:rsidR="00580995">
        <w:rPr>
          <w:sz w:val="28"/>
        </w:rPr>
        <w:t xml:space="preserve"> </w:t>
      </w:r>
      <w:r w:rsidR="00E60A01">
        <w:rPr>
          <w:sz w:val="28"/>
        </w:rPr>
        <w:t xml:space="preserve">(s. BGH NJW 1958, 758, </w:t>
      </w:r>
      <w:r w:rsidR="00580995">
        <w:rPr>
          <w:sz w:val="28"/>
        </w:rPr>
        <w:t>BT-Drs. 14/6040 S. 177).</w:t>
      </w:r>
      <w:r w:rsidR="00E60A01">
        <w:rPr>
          <w:sz w:val="28"/>
        </w:rPr>
        <w:t xml:space="preserve"> </w:t>
      </w:r>
    </w:p>
    <w:p w:rsidR="00590A59" w:rsidRDefault="00590A59" w:rsidP="00747BEE">
      <w:pPr>
        <w:pStyle w:val="Listenabsatz"/>
        <w:ind w:left="1080"/>
        <w:rPr>
          <w:sz w:val="28"/>
        </w:rPr>
      </w:pPr>
    </w:p>
    <w:p w:rsidR="00590A59" w:rsidRDefault="00590A59" w:rsidP="00747BEE">
      <w:pPr>
        <w:pStyle w:val="Listenabsatz"/>
        <w:ind w:left="1080"/>
        <w:rPr>
          <w:b/>
          <w:sz w:val="28"/>
        </w:rPr>
      </w:pPr>
      <w:r w:rsidRPr="00590A59">
        <w:rPr>
          <w:b/>
          <w:sz w:val="28"/>
        </w:rPr>
        <w:t xml:space="preserve">              IV. Summarische Prüfung im Anordnungsverfahren</w:t>
      </w:r>
    </w:p>
    <w:p w:rsidR="00590A59" w:rsidRPr="00590A59" w:rsidRDefault="00590A59" w:rsidP="00747BEE">
      <w:pPr>
        <w:pStyle w:val="Listenabsatz"/>
        <w:ind w:left="1080"/>
        <w:rPr>
          <w:b/>
          <w:sz w:val="28"/>
        </w:rPr>
      </w:pPr>
    </w:p>
    <w:p w:rsidR="00580995" w:rsidRDefault="00590A59" w:rsidP="00747BEE">
      <w:pPr>
        <w:pStyle w:val="Listenabsatz"/>
        <w:ind w:left="1080"/>
        <w:rPr>
          <w:sz w:val="28"/>
        </w:rPr>
      </w:pPr>
      <w:r>
        <w:rPr>
          <w:sz w:val="28"/>
        </w:rPr>
        <w:t xml:space="preserve"> An die eingangs getroffenen Feststellungen</w:t>
      </w:r>
      <w:r w:rsidR="00361550">
        <w:rPr>
          <w:sz w:val="28"/>
        </w:rPr>
        <w:t xml:space="preserve"> ( I. </w:t>
      </w:r>
      <w:r w:rsidR="00035D57">
        <w:rPr>
          <w:sz w:val="26"/>
        </w:rPr>
        <w:t>Ziffer 3 f., siehe auch II. Ziffer 4</w:t>
      </w:r>
      <w:r w:rsidR="00361550">
        <w:rPr>
          <w:sz w:val="26"/>
        </w:rPr>
        <w:t>)</w:t>
      </w:r>
      <w:r>
        <w:rPr>
          <w:sz w:val="28"/>
        </w:rPr>
        <w:t xml:space="preserve"> </w:t>
      </w:r>
      <w:r w:rsidR="00005CA7">
        <w:rPr>
          <w:sz w:val="28"/>
        </w:rPr>
        <w:t>zum dringenden Entscheidungsbedarf durch das erkennende Gericht ist abschließend anzuknüpfen:</w:t>
      </w:r>
    </w:p>
    <w:p w:rsidR="00005CA7" w:rsidRDefault="00005CA7" w:rsidP="00747BEE">
      <w:pPr>
        <w:pStyle w:val="Listenabsatz"/>
        <w:ind w:left="1080"/>
        <w:rPr>
          <w:sz w:val="28"/>
        </w:rPr>
      </w:pPr>
    </w:p>
    <w:p w:rsidR="00005CA7" w:rsidRDefault="00005CA7" w:rsidP="00005CA7">
      <w:pPr>
        <w:pStyle w:val="Listenabsatz"/>
        <w:numPr>
          <w:ilvl w:val="0"/>
          <w:numId w:val="15"/>
        </w:numPr>
        <w:rPr>
          <w:sz w:val="28"/>
        </w:rPr>
      </w:pPr>
      <w:r w:rsidRPr="00005CA7">
        <w:rPr>
          <w:sz w:val="28"/>
        </w:rPr>
        <w:t xml:space="preserve">Die </w:t>
      </w:r>
      <w:r w:rsidR="00580995" w:rsidRPr="00005CA7">
        <w:rPr>
          <w:sz w:val="28"/>
        </w:rPr>
        <w:t xml:space="preserve"> angestrebte Eilentscheidung wird dringend benötigt, um feststellen</w:t>
      </w:r>
      <w:r w:rsidR="00821385" w:rsidRPr="00005CA7">
        <w:rPr>
          <w:sz w:val="28"/>
        </w:rPr>
        <w:t xml:space="preserve"> zu lassen</w:t>
      </w:r>
      <w:r w:rsidR="00580995" w:rsidRPr="00005CA7">
        <w:rPr>
          <w:sz w:val="28"/>
        </w:rPr>
        <w:t xml:space="preserve">, </w:t>
      </w:r>
      <w:r w:rsidR="0023036C">
        <w:rPr>
          <w:sz w:val="28"/>
        </w:rPr>
        <w:t>dass</w:t>
      </w:r>
      <w:r w:rsidR="00821385" w:rsidRPr="00005CA7">
        <w:rPr>
          <w:sz w:val="28"/>
        </w:rPr>
        <w:t xml:space="preserve"> durch die im Bürgerbegehren genannte Änderung der Verhältn</w:t>
      </w:r>
      <w:r>
        <w:rPr>
          <w:sz w:val="28"/>
        </w:rPr>
        <w:t>isse ein „Wegfall der Geschäfts</w:t>
      </w:r>
      <w:r w:rsidR="00821385" w:rsidRPr="00005CA7">
        <w:rPr>
          <w:sz w:val="28"/>
        </w:rPr>
        <w:t>grundlage“ entstanden ist</w:t>
      </w:r>
      <w:r w:rsidR="00507BF8">
        <w:rPr>
          <w:sz w:val="28"/>
        </w:rPr>
        <w:t xml:space="preserve"> und daraus gerade bei dem Großprojekt S 21 nach   § 60 VwVfG die rechtlich gebotenen Konsequenzen zu ziehen sind.</w:t>
      </w:r>
    </w:p>
    <w:p w:rsidR="00507BF8" w:rsidRDefault="00507BF8" w:rsidP="00507BF8">
      <w:pPr>
        <w:pStyle w:val="Listenabsatz"/>
        <w:ind w:left="1440"/>
        <w:rPr>
          <w:sz w:val="28"/>
        </w:rPr>
      </w:pPr>
    </w:p>
    <w:p w:rsidR="00507BF8" w:rsidRDefault="00005CA7" w:rsidP="00507BF8">
      <w:pPr>
        <w:pStyle w:val="Listenabsatz"/>
        <w:numPr>
          <w:ilvl w:val="0"/>
          <w:numId w:val="15"/>
        </w:numPr>
        <w:rPr>
          <w:sz w:val="28"/>
        </w:rPr>
      </w:pPr>
      <w:r>
        <w:rPr>
          <w:sz w:val="28"/>
        </w:rPr>
        <w:t>Die vorliegend dokumentierten Bahn-Geständnisse (Anlagen K 5,6,7) gebieten auch im summarischen Verfahren die Feststellung, dass für diese schwerwiegende, mehrjäh</w:t>
      </w:r>
      <w:r w:rsidR="00361550">
        <w:rPr>
          <w:sz w:val="28"/>
        </w:rPr>
        <w:t>rige F</w:t>
      </w:r>
      <w:r>
        <w:rPr>
          <w:sz w:val="28"/>
        </w:rPr>
        <w:t xml:space="preserve">ehlplanung und Falschinformation die Deutsche Bahn AG als Bauträger und nicht die Landeshauptstadt Stuttgart </w:t>
      </w:r>
      <w:r w:rsidR="008A5634">
        <w:rPr>
          <w:sz w:val="28"/>
        </w:rPr>
        <w:t>als Zuschussgeber verantwortlich ist.</w:t>
      </w:r>
      <w:r w:rsidR="00507BF8">
        <w:rPr>
          <w:sz w:val="28"/>
        </w:rPr>
        <w:t xml:space="preserve"> </w:t>
      </w:r>
    </w:p>
    <w:p w:rsidR="00507BF8" w:rsidRPr="00507BF8" w:rsidRDefault="00507BF8" w:rsidP="00507BF8">
      <w:pPr>
        <w:pStyle w:val="Listenabsatz"/>
        <w:rPr>
          <w:sz w:val="28"/>
        </w:rPr>
      </w:pPr>
    </w:p>
    <w:p w:rsidR="00580995" w:rsidRPr="00005CA7" w:rsidRDefault="0023036C" w:rsidP="00507BF8">
      <w:pPr>
        <w:pStyle w:val="Listenabsatz"/>
        <w:numPr>
          <w:ilvl w:val="0"/>
          <w:numId w:val="15"/>
        </w:numPr>
        <w:rPr>
          <w:sz w:val="28"/>
        </w:rPr>
      </w:pPr>
      <w:r>
        <w:rPr>
          <w:sz w:val="28"/>
        </w:rPr>
        <w:t>Fraglich kann</w:t>
      </w:r>
      <w:r w:rsidR="00507BF8">
        <w:rPr>
          <w:sz w:val="28"/>
        </w:rPr>
        <w:t xml:space="preserve"> bleiben, ob im vorliegenden Verfahren „praktisch auszuschließen“ </w:t>
      </w:r>
      <w:r w:rsidR="008A5634">
        <w:rPr>
          <w:sz w:val="28"/>
        </w:rPr>
        <w:t xml:space="preserve"> ist</w:t>
      </w:r>
      <w:r w:rsidR="008217F1">
        <w:rPr>
          <w:sz w:val="28"/>
        </w:rPr>
        <w:t xml:space="preserve"> (VGH, Senatsbeschluss v. 27.04.2010 – 1 S 2810/09 sowie vom 30.09.2010, 1 S 1722/1)</w:t>
      </w:r>
      <w:r w:rsidR="008A5634">
        <w:rPr>
          <w:sz w:val="28"/>
        </w:rPr>
        <w:t xml:space="preserve">, dass </w:t>
      </w:r>
      <w:r w:rsidR="00361550">
        <w:rPr>
          <w:sz w:val="28"/>
        </w:rPr>
        <w:t xml:space="preserve">der gesetzliche Vorrang der Vertragsanpassung </w:t>
      </w:r>
      <w:r w:rsidR="008A5634">
        <w:rPr>
          <w:sz w:val="28"/>
        </w:rPr>
        <w:t>trotz der bahnseits denkbar schw</w:t>
      </w:r>
      <w:r w:rsidR="00361550">
        <w:rPr>
          <w:sz w:val="28"/>
        </w:rPr>
        <w:t xml:space="preserve">eren Versäumnisse </w:t>
      </w:r>
      <w:r w:rsidR="008217F1">
        <w:rPr>
          <w:sz w:val="28"/>
        </w:rPr>
        <w:t>bei gründlicher Prüfung aller Umstände auch dann zum Zuge  kommen kann, wenn</w:t>
      </w:r>
      <w:r>
        <w:rPr>
          <w:sz w:val="28"/>
        </w:rPr>
        <w:t xml:space="preserve"> die</w:t>
      </w:r>
      <w:r w:rsidR="008A5634">
        <w:rPr>
          <w:sz w:val="28"/>
        </w:rPr>
        <w:t xml:space="preserve"> Mehrkosten jenseits der 4,526 Milliarden Euro allein von der DB AG </w:t>
      </w:r>
      <w:r>
        <w:rPr>
          <w:sz w:val="28"/>
        </w:rPr>
        <w:t xml:space="preserve">als Bauträger </w:t>
      </w:r>
      <w:r w:rsidR="008A5634">
        <w:rPr>
          <w:sz w:val="28"/>
        </w:rPr>
        <w:t xml:space="preserve">zu tragen sind. </w:t>
      </w:r>
    </w:p>
    <w:p w:rsidR="00821385" w:rsidRDefault="00821385" w:rsidP="00821385">
      <w:pPr>
        <w:pStyle w:val="Listenabsatz"/>
        <w:ind w:left="1080"/>
        <w:rPr>
          <w:sz w:val="28"/>
        </w:rPr>
      </w:pPr>
    </w:p>
    <w:p w:rsidR="00821385" w:rsidRDefault="00821385" w:rsidP="00670CAF">
      <w:pPr>
        <w:pStyle w:val="Listenabsatz"/>
        <w:ind w:left="1440"/>
        <w:rPr>
          <w:sz w:val="28"/>
        </w:rPr>
      </w:pPr>
      <w:r>
        <w:rPr>
          <w:sz w:val="28"/>
        </w:rPr>
        <w:t xml:space="preserve">Wäre es für die Antragsgegnerin zumutbar, auf eine Anpassung des Finanzierungsvertrags bezüglich der Mehrkosten </w:t>
      </w:r>
      <w:r w:rsidR="00F67AAE">
        <w:rPr>
          <w:sz w:val="28"/>
        </w:rPr>
        <w:t xml:space="preserve">oberhalb 4,526 Mrd. Euro zu Lasten der Bahn verwiesen zu werden, dann wäre auch dies ein signifikantes Ergebnis, das einen aufrüttelnden Warneffekt gegenüber </w:t>
      </w:r>
      <w:r w:rsidR="00DF376F">
        <w:rPr>
          <w:sz w:val="28"/>
        </w:rPr>
        <w:t xml:space="preserve">der DB AG </w:t>
      </w:r>
      <w:r w:rsidR="00F67AAE">
        <w:rPr>
          <w:sz w:val="28"/>
        </w:rPr>
        <w:t xml:space="preserve">an die Stelle des vertraglich ungesicherten, blinden Weiterbauens von S 21  setzen könnte. </w:t>
      </w:r>
    </w:p>
    <w:p w:rsidR="00F67AAE" w:rsidRDefault="00F67AAE" w:rsidP="00821385">
      <w:pPr>
        <w:pStyle w:val="Listenabsatz"/>
        <w:ind w:left="1080"/>
        <w:rPr>
          <w:sz w:val="28"/>
        </w:rPr>
      </w:pPr>
    </w:p>
    <w:p w:rsidR="00F67AAE" w:rsidRDefault="00F67AAE" w:rsidP="00821385">
      <w:pPr>
        <w:pStyle w:val="Listenabsatz"/>
        <w:ind w:left="1080"/>
        <w:rPr>
          <w:sz w:val="28"/>
        </w:rPr>
      </w:pPr>
      <w:r>
        <w:rPr>
          <w:sz w:val="28"/>
        </w:rPr>
        <w:t>Der gestellte Eilantrag liegt daher letztlich im allseitigen rechtlichen Klärungsinteresse der benötigten Richtungsentscheidung.</w:t>
      </w:r>
    </w:p>
    <w:p w:rsidR="008217F1" w:rsidRDefault="008217F1" w:rsidP="00821385">
      <w:pPr>
        <w:pStyle w:val="Listenabsatz"/>
        <w:ind w:left="1080"/>
        <w:rPr>
          <w:sz w:val="28"/>
        </w:rPr>
      </w:pPr>
    </w:p>
    <w:p w:rsidR="008217F1" w:rsidRDefault="008217F1" w:rsidP="008217F1">
      <w:pPr>
        <w:pStyle w:val="Listenabsatz"/>
        <w:numPr>
          <w:ilvl w:val="0"/>
          <w:numId w:val="15"/>
        </w:numPr>
        <w:rPr>
          <w:sz w:val="28"/>
        </w:rPr>
      </w:pPr>
      <w:r>
        <w:rPr>
          <w:sz w:val="28"/>
        </w:rPr>
        <w:t xml:space="preserve">Abschließend bitte ich ausdrücklich um Hinweise nach § 86 VwGO, </w:t>
      </w:r>
      <w:r w:rsidR="00670CAF">
        <w:rPr>
          <w:sz w:val="28"/>
        </w:rPr>
        <w:t>sofern vorgelegte Dokumente zur Glaubhaftmachung des Sachvortrags erweiterungsbedürftig sein sollten oder tatsächliche Angaben ungenügend erscheinen.</w:t>
      </w:r>
    </w:p>
    <w:p w:rsidR="00670CAF" w:rsidRDefault="00670CAF" w:rsidP="00670CAF">
      <w:pPr>
        <w:pStyle w:val="Listenabsatz"/>
        <w:ind w:left="1440"/>
        <w:rPr>
          <w:sz w:val="28"/>
        </w:rPr>
      </w:pPr>
    </w:p>
    <w:p w:rsidR="00670CAF" w:rsidRDefault="00670CAF" w:rsidP="00670CAF">
      <w:pPr>
        <w:pStyle w:val="Listenabsatz"/>
        <w:ind w:left="1440"/>
        <w:rPr>
          <w:sz w:val="28"/>
        </w:rPr>
      </w:pPr>
    </w:p>
    <w:p w:rsidR="00F67AAE" w:rsidRDefault="00F67AAE" w:rsidP="00821385">
      <w:pPr>
        <w:pStyle w:val="Listenabsatz"/>
        <w:ind w:left="1080"/>
        <w:rPr>
          <w:sz w:val="28"/>
        </w:rPr>
      </w:pPr>
    </w:p>
    <w:p w:rsidR="000D2436" w:rsidRDefault="000D2436" w:rsidP="00821385">
      <w:pPr>
        <w:pStyle w:val="Listenabsatz"/>
        <w:ind w:left="1080"/>
        <w:rPr>
          <w:sz w:val="28"/>
        </w:rPr>
      </w:pPr>
    </w:p>
    <w:p w:rsidR="00F67AAE" w:rsidRDefault="00F67AAE" w:rsidP="00821385">
      <w:pPr>
        <w:pStyle w:val="Listenabsatz"/>
        <w:ind w:left="1080"/>
        <w:rPr>
          <w:sz w:val="28"/>
        </w:rPr>
      </w:pPr>
      <w:r>
        <w:rPr>
          <w:sz w:val="28"/>
        </w:rPr>
        <w:t>Rechtsanwalt</w:t>
      </w:r>
    </w:p>
    <w:p w:rsidR="00500D69" w:rsidRDefault="00500D69" w:rsidP="00B30C9B">
      <w:pPr>
        <w:pStyle w:val="Listenabsatz"/>
        <w:ind w:left="1080"/>
        <w:rPr>
          <w:sz w:val="28"/>
        </w:rPr>
      </w:pPr>
    </w:p>
    <w:p w:rsidR="00500D69" w:rsidRDefault="00500D69" w:rsidP="00B30C9B">
      <w:pPr>
        <w:pStyle w:val="Listenabsatz"/>
        <w:ind w:left="1080"/>
        <w:rPr>
          <w:sz w:val="28"/>
        </w:rPr>
      </w:pPr>
    </w:p>
    <w:p w:rsidR="00AB61E8" w:rsidRDefault="00AB61E8" w:rsidP="00CA4048">
      <w:pPr>
        <w:pStyle w:val="Listenabsatz"/>
        <w:ind w:left="1080"/>
        <w:rPr>
          <w:sz w:val="28"/>
        </w:rPr>
      </w:pPr>
    </w:p>
    <w:p w:rsidR="003B1423" w:rsidRDefault="003B1423" w:rsidP="00783A1F">
      <w:pPr>
        <w:pStyle w:val="Listenabsatz"/>
        <w:rPr>
          <w:sz w:val="28"/>
        </w:rPr>
      </w:pPr>
    </w:p>
    <w:p w:rsidR="00DB2F79" w:rsidRDefault="00DB2F79" w:rsidP="00783A1F">
      <w:pPr>
        <w:pStyle w:val="Listenabsatz"/>
        <w:rPr>
          <w:sz w:val="28"/>
        </w:rPr>
      </w:pPr>
    </w:p>
    <w:p w:rsidR="00DB2F79" w:rsidRPr="00595E11" w:rsidRDefault="00DB2F79" w:rsidP="00783A1F">
      <w:pPr>
        <w:pStyle w:val="Listenabsatz"/>
        <w:rPr>
          <w:sz w:val="28"/>
        </w:rPr>
      </w:pPr>
      <w:r>
        <w:rPr>
          <w:sz w:val="28"/>
        </w:rPr>
        <w:t xml:space="preserve">      </w:t>
      </w:r>
    </w:p>
    <w:p w:rsidR="00783A1F" w:rsidRPr="00783A1F" w:rsidRDefault="00783A1F" w:rsidP="00783A1F">
      <w:pPr>
        <w:pStyle w:val="Listenabsatz"/>
        <w:rPr>
          <w:b/>
          <w:sz w:val="28"/>
        </w:rPr>
      </w:pPr>
    </w:p>
    <w:sectPr w:rsidR="00783A1F" w:rsidRPr="00783A1F" w:rsidSect="007508C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F29" w:rsidRDefault="00322F29" w:rsidP="00D63C68">
      <w:r>
        <w:separator/>
      </w:r>
    </w:p>
  </w:endnote>
  <w:endnote w:type="continuationSeparator" w:id="0">
    <w:p w:rsidR="00322F29" w:rsidRDefault="00322F29" w:rsidP="00D6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F29" w:rsidRDefault="00322F29" w:rsidP="00D63C68">
      <w:r>
        <w:separator/>
      </w:r>
    </w:p>
  </w:footnote>
  <w:footnote w:type="continuationSeparator" w:id="0">
    <w:p w:rsidR="00322F29" w:rsidRDefault="00322F29" w:rsidP="00D63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84"/>
      <w:docPartObj>
        <w:docPartGallery w:val="Page Numbers (Top of Page)"/>
        <w:docPartUnique/>
      </w:docPartObj>
    </w:sdtPr>
    <w:sdtEndPr/>
    <w:sdtContent>
      <w:p w:rsidR="00507BF8" w:rsidRDefault="00322F29">
        <w:pPr>
          <w:pStyle w:val="Kopfzeile"/>
          <w:jc w:val="right"/>
        </w:pPr>
        <w:r>
          <w:fldChar w:fldCharType="begin"/>
        </w:r>
        <w:r>
          <w:instrText xml:space="preserve"> PAGE   \* MERGEFORMAT</w:instrText>
        </w:r>
        <w:r>
          <w:instrText xml:space="preserve"> </w:instrText>
        </w:r>
        <w:r>
          <w:fldChar w:fldCharType="separate"/>
        </w:r>
        <w:r w:rsidR="00103033">
          <w:rPr>
            <w:noProof/>
          </w:rPr>
          <w:t>2</w:t>
        </w:r>
        <w:r>
          <w:rPr>
            <w:noProof/>
          </w:rPr>
          <w:fldChar w:fldCharType="end"/>
        </w:r>
      </w:p>
    </w:sdtContent>
  </w:sdt>
  <w:p w:rsidR="00507BF8" w:rsidRDefault="00507BF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0B7"/>
    <w:multiLevelType w:val="hybridMultilevel"/>
    <w:tmpl w:val="AFE0A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58A09C4"/>
    <w:multiLevelType w:val="hybridMultilevel"/>
    <w:tmpl w:val="238E8580"/>
    <w:lvl w:ilvl="0" w:tplc="E2347BCE">
      <w:start w:val="29"/>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nsid w:val="19B744A9"/>
    <w:multiLevelType w:val="hybridMultilevel"/>
    <w:tmpl w:val="0366C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E9371B4"/>
    <w:multiLevelType w:val="hybridMultilevel"/>
    <w:tmpl w:val="B36CD798"/>
    <w:lvl w:ilvl="0" w:tplc="6C4C0CCE">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nsid w:val="33132087"/>
    <w:multiLevelType w:val="hybridMultilevel"/>
    <w:tmpl w:val="3F74CFE8"/>
    <w:lvl w:ilvl="0" w:tplc="E60CE866">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nsid w:val="362D2DA2"/>
    <w:multiLevelType w:val="hybridMultilevel"/>
    <w:tmpl w:val="998867C6"/>
    <w:lvl w:ilvl="0" w:tplc="A0D47290">
      <w:start w:val="1"/>
      <w:numFmt w:val="upperRoman"/>
      <w:lvlText w:val="%1."/>
      <w:lvlJc w:val="left"/>
      <w:pPr>
        <w:ind w:left="4110" w:hanging="720"/>
      </w:pPr>
      <w:rPr>
        <w:rFonts w:hint="default"/>
      </w:rPr>
    </w:lvl>
    <w:lvl w:ilvl="1" w:tplc="04070019" w:tentative="1">
      <w:start w:val="1"/>
      <w:numFmt w:val="lowerLetter"/>
      <w:lvlText w:val="%2."/>
      <w:lvlJc w:val="left"/>
      <w:pPr>
        <w:ind w:left="4470" w:hanging="360"/>
      </w:pPr>
    </w:lvl>
    <w:lvl w:ilvl="2" w:tplc="0407001B" w:tentative="1">
      <w:start w:val="1"/>
      <w:numFmt w:val="lowerRoman"/>
      <w:lvlText w:val="%3."/>
      <w:lvlJc w:val="right"/>
      <w:pPr>
        <w:ind w:left="5190" w:hanging="180"/>
      </w:pPr>
    </w:lvl>
    <w:lvl w:ilvl="3" w:tplc="0407000F" w:tentative="1">
      <w:start w:val="1"/>
      <w:numFmt w:val="decimal"/>
      <w:lvlText w:val="%4."/>
      <w:lvlJc w:val="left"/>
      <w:pPr>
        <w:ind w:left="5910" w:hanging="360"/>
      </w:pPr>
    </w:lvl>
    <w:lvl w:ilvl="4" w:tplc="04070019" w:tentative="1">
      <w:start w:val="1"/>
      <w:numFmt w:val="lowerLetter"/>
      <w:lvlText w:val="%5."/>
      <w:lvlJc w:val="left"/>
      <w:pPr>
        <w:ind w:left="6630" w:hanging="360"/>
      </w:pPr>
    </w:lvl>
    <w:lvl w:ilvl="5" w:tplc="0407001B" w:tentative="1">
      <w:start w:val="1"/>
      <w:numFmt w:val="lowerRoman"/>
      <w:lvlText w:val="%6."/>
      <w:lvlJc w:val="right"/>
      <w:pPr>
        <w:ind w:left="7350" w:hanging="180"/>
      </w:pPr>
    </w:lvl>
    <w:lvl w:ilvl="6" w:tplc="0407000F" w:tentative="1">
      <w:start w:val="1"/>
      <w:numFmt w:val="decimal"/>
      <w:lvlText w:val="%7."/>
      <w:lvlJc w:val="left"/>
      <w:pPr>
        <w:ind w:left="8070" w:hanging="360"/>
      </w:pPr>
    </w:lvl>
    <w:lvl w:ilvl="7" w:tplc="04070019" w:tentative="1">
      <w:start w:val="1"/>
      <w:numFmt w:val="lowerLetter"/>
      <w:lvlText w:val="%8."/>
      <w:lvlJc w:val="left"/>
      <w:pPr>
        <w:ind w:left="8790" w:hanging="360"/>
      </w:pPr>
    </w:lvl>
    <w:lvl w:ilvl="8" w:tplc="0407001B" w:tentative="1">
      <w:start w:val="1"/>
      <w:numFmt w:val="lowerRoman"/>
      <w:lvlText w:val="%9."/>
      <w:lvlJc w:val="right"/>
      <w:pPr>
        <w:ind w:left="9510" w:hanging="180"/>
      </w:pPr>
    </w:lvl>
  </w:abstractNum>
  <w:abstractNum w:abstractNumId="6">
    <w:nsid w:val="379E7082"/>
    <w:multiLevelType w:val="hybridMultilevel"/>
    <w:tmpl w:val="FEEEA770"/>
    <w:lvl w:ilvl="0" w:tplc="727C9DA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nsid w:val="39DF644B"/>
    <w:multiLevelType w:val="hybridMultilevel"/>
    <w:tmpl w:val="2234B006"/>
    <w:lvl w:ilvl="0" w:tplc="818099F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nsid w:val="41047131"/>
    <w:multiLevelType w:val="hybridMultilevel"/>
    <w:tmpl w:val="818200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E6533EE"/>
    <w:multiLevelType w:val="hybridMultilevel"/>
    <w:tmpl w:val="D0CCC4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94A455A"/>
    <w:multiLevelType w:val="hybridMultilevel"/>
    <w:tmpl w:val="47C0F638"/>
    <w:lvl w:ilvl="0" w:tplc="AD2278BC">
      <w:start w:val="29"/>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nsid w:val="5BE76C79"/>
    <w:multiLevelType w:val="hybridMultilevel"/>
    <w:tmpl w:val="B33487D8"/>
    <w:lvl w:ilvl="0" w:tplc="47FAD23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65A12073"/>
    <w:multiLevelType w:val="hybridMultilevel"/>
    <w:tmpl w:val="5F1E7310"/>
    <w:lvl w:ilvl="0" w:tplc="1542D08E">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3">
    <w:nsid w:val="667E4B19"/>
    <w:multiLevelType w:val="hybridMultilevel"/>
    <w:tmpl w:val="5A747E2E"/>
    <w:lvl w:ilvl="0" w:tplc="05701CCE">
      <w:start w:val="1"/>
      <w:numFmt w:val="bullet"/>
      <w:lvlText w:val="-"/>
      <w:lvlJc w:val="left"/>
      <w:pPr>
        <w:ind w:left="6645" w:hanging="360"/>
      </w:pPr>
      <w:rPr>
        <w:rFonts w:ascii="Calibri" w:eastAsiaTheme="minorHAnsi" w:hAnsi="Calibri" w:cstheme="minorBidi" w:hint="default"/>
      </w:rPr>
    </w:lvl>
    <w:lvl w:ilvl="1" w:tplc="04070003" w:tentative="1">
      <w:start w:val="1"/>
      <w:numFmt w:val="bullet"/>
      <w:lvlText w:val="o"/>
      <w:lvlJc w:val="left"/>
      <w:pPr>
        <w:ind w:left="7365" w:hanging="360"/>
      </w:pPr>
      <w:rPr>
        <w:rFonts w:ascii="Courier New" w:hAnsi="Courier New" w:cs="Courier New" w:hint="default"/>
      </w:rPr>
    </w:lvl>
    <w:lvl w:ilvl="2" w:tplc="04070005" w:tentative="1">
      <w:start w:val="1"/>
      <w:numFmt w:val="bullet"/>
      <w:lvlText w:val=""/>
      <w:lvlJc w:val="left"/>
      <w:pPr>
        <w:ind w:left="8085" w:hanging="360"/>
      </w:pPr>
      <w:rPr>
        <w:rFonts w:ascii="Wingdings" w:hAnsi="Wingdings" w:hint="default"/>
      </w:rPr>
    </w:lvl>
    <w:lvl w:ilvl="3" w:tplc="04070001" w:tentative="1">
      <w:start w:val="1"/>
      <w:numFmt w:val="bullet"/>
      <w:lvlText w:val=""/>
      <w:lvlJc w:val="left"/>
      <w:pPr>
        <w:ind w:left="8805" w:hanging="360"/>
      </w:pPr>
      <w:rPr>
        <w:rFonts w:ascii="Symbol" w:hAnsi="Symbol" w:hint="default"/>
      </w:rPr>
    </w:lvl>
    <w:lvl w:ilvl="4" w:tplc="04070003" w:tentative="1">
      <w:start w:val="1"/>
      <w:numFmt w:val="bullet"/>
      <w:lvlText w:val="o"/>
      <w:lvlJc w:val="left"/>
      <w:pPr>
        <w:ind w:left="9525" w:hanging="360"/>
      </w:pPr>
      <w:rPr>
        <w:rFonts w:ascii="Courier New" w:hAnsi="Courier New" w:cs="Courier New" w:hint="default"/>
      </w:rPr>
    </w:lvl>
    <w:lvl w:ilvl="5" w:tplc="04070005" w:tentative="1">
      <w:start w:val="1"/>
      <w:numFmt w:val="bullet"/>
      <w:lvlText w:val=""/>
      <w:lvlJc w:val="left"/>
      <w:pPr>
        <w:ind w:left="10245" w:hanging="360"/>
      </w:pPr>
      <w:rPr>
        <w:rFonts w:ascii="Wingdings" w:hAnsi="Wingdings" w:hint="default"/>
      </w:rPr>
    </w:lvl>
    <w:lvl w:ilvl="6" w:tplc="04070001" w:tentative="1">
      <w:start w:val="1"/>
      <w:numFmt w:val="bullet"/>
      <w:lvlText w:val=""/>
      <w:lvlJc w:val="left"/>
      <w:pPr>
        <w:ind w:left="10965" w:hanging="360"/>
      </w:pPr>
      <w:rPr>
        <w:rFonts w:ascii="Symbol" w:hAnsi="Symbol" w:hint="default"/>
      </w:rPr>
    </w:lvl>
    <w:lvl w:ilvl="7" w:tplc="04070003" w:tentative="1">
      <w:start w:val="1"/>
      <w:numFmt w:val="bullet"/>
      <w:lvlText w:val="o"/>
      <w:lvlJc w:val="left"/>
      <w:pPr>
        <w:ind w:left="11685" w:hanging="360"/>
      </w:pPr>
      <w:rPr>
        <w:rFonts w:ascii="Courier New" w:hAnsi="Courier New" w:cs="Courier New" w:hint="default"/>
      </w:rPr>
    </w:lvl>
    <w:lvl w:ilvl="8" w:tplc="04070005" w:tentative="1">
      <w:start w:val="1"/>
      <w:numFmt w:val="bullet"/>
      <w:lvlText w:val=""/>
      <w:lvlJc w:val="left"/>
      <w:pPr>
        <w:ind w:left="12405" w:hanging="360"/>
      </w:pPr>
      <w:rPr>
        <w:rFonts w:ascii="Wingdings" w:hAnsi="Wingdings" w:hint="default"/>
      </w:rPr>
    </w:lvl>
  </w:abstractNum>
  <w:abstractNum w:abstractNumId="14">
    <w:nsid w:val="71A34DB0"/>
    <w:multiLevelType w:val="hybridMultilevel"/>
    <w:tmpl w:val="0E66C470"/>
    <w:lvl w:ilvl="0" w:tplc="EF0A02D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nsid w:val="7E7B14F7"/>
    <w:multiLevelType w:val="hybridMultilevel"/>
    <w:tmpl w:val="CF1C14C6"/>
    <w:lvl w:ilvl="0" w:tplc="F314FE48">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8"/>
  </w:num>
  <w:num w:numId="2">
    <w:abstractNumId w:val="2"/>
  </w:num>
  <w:num w:numId="3">
    <w:abstractNumId w:val="0"/>
  </w:num>
  <w:num w:numId="4">
    <w:abstractNumId w:val="13"/>
  </w:num>
  <w:num w:numId="5">
    <w:abstractNumId w:val="5"/>
  </w:num>
  <w:num w:numId="6">
    <w:abstractNumId w:val="9"/>
  </w:num>
  <w:num w:numId="7">
    <w:abstractNumId w:val="6"/>
  </w:num>
  <w:num w:numId="8">
    <w:abstractNumId w:val="14"/>
  </w:num>
  <w:num w:numId="9">
    <w:abstractNumId w:val="11"/>
  </w:num>
  <w:num w:numId="10">
    <w:abstractNumId w:val="15"/>
  </w:num>
  <w:num w:numId="11">
    <w:abstractNumId w:val="12"/>
  </w:num>
  <w:num w:numId="12">
    <w:abstractNumId w:val="4"/>
  </w:num>
  <w:num w:numId="13">
    <w:abstractNumId w:val="7"/>
  </w:num>
  <w:num w:numId="14">
    <w:abstractNumId w:val="1"/>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4A4D"/>
    <w:rsid w:val="00005CA7"/>
    <w:rsid w:val="0000749F"/>
    <w:rsid w:val="00035D57"/>
    <w:rsid w:val="00045215"/>
    <w:rsid w:val="00073814"/>
    <w:rsid w:val="00073EB1"/>
    <w:rsid w:val="00077975"/>
    <w:rsid w:val="0008018F"/>
    <w:rsid w:val="000B0AE1"/>
    <w:rsid w:val="000B1B2E"/>
    <w:rsid w:val="000C46D0"/>
    <w:rsid w:val="000D2436"/>
    <w:rsid w:val="000E6E4F"/>
    <w:rsid w:val="00103033"/>
    <w:rsid w:val="001044DD"/>
    <w:rsid w:val="00114002"/>
    <w:rsid w:val="001260A0"/>
    <w:rsid w:val="001322F5"/>
    <w:rsid w:val="00140E97"/>
    <w:rsid w:val="001434DA"/>
    <w:rsid w:val="00153DFB"/>
    <w:rsid w:val="00156467"/>
    <w:rsid w:val="00160313"/>
    <w:rsid w:val="00172FAA"/>
    <w:rsid w:val="0018295E"/>
    <w:rsid w:val="001941EF"/>
    <w:rsid w:val="002260AA"/>
    <w:rsid w:val="0023036C"/>
    <w:rsid w:val="002853B7"/>
    <w:rsid w:val="002A41AF"/>
    <w:rsid w:val="002C3DF4"/>
    <w:rsid w:val="00305B79"/>
    <w:rsid w:val="00322F29"/>
    <w:rsid w:val="00335242"/>
    <w:rsid w:val="00340545"/>
    <w:rsid w:val="00343407"/>
    <w:rsid w:val="003531BE"/>
    <w:rsid w:val="00361550"/>
    <w:rsid w:val="00376675"/>
    <w:rsid w:val="00385921"/>
    <w:rsid w:val="003B1423"/>
    <w:rsid w:val="003D263C"/>
    <w:rsid w:val="003E12C0"/>
    <w:rsid w:val="003E4683"/>
    <w:rsid w:val="003F0A88"/>
    <w:rsid w:val="003F0A8A"/>
    <w:rsid w:val="00423EE2"/>
    <w:rsid w:val="00444FC1"/>
    <w:rsid w:val="00474E01"/>
    <w:rsid w:val="004C745E"/>
    <w:rsid w:val="004D505B"/>
    <w:rsid w:val="00500D69"/>
    <w:rsid w:val="00507BF8"/>
    <w:rsid w:val="00514F3A"/>
    <w:rsid w:val="005359E6"/>
    <w:rsid w:val="00563D43"/>
    <w:rsid w:val="00580995"/>
    <w:rsid w:val="00590A59"/>
    <w:rsid w:val="00595E11"/>
    <w:rsid w:val="005A0884"/>
    <w:rsid w:val="005A565C"/>
    <w:rsid w:val="005C6895"/>
    <w:rsid w:val="005E1E23"/>
    <w:rsid w:val="006148DF"/>
    <w:rsid w:val="00624D91"/>
    <w:rsid w:val="006275A4"/>
    <w:rsid w:val="006515AE"/>
    <w:rsid w:val="006530EE"/>
    <w:rsid w:val="006557D1"/>
    <w:rsid w:val="00670CAF"/>
    <w:rsid w:val="00683528"/>
    <w:rsid w:val="006C2A10"/>
    <w:rsid w:val="006D7A23"/>
    <w:rsid w:val="00712499"/>
    <w:rsid w:val="0072137C"/>
    <w:rsid w:val="007230CE"/>
    <w:rsid w:val="00740E96"/>
    <w:rsid w:val="00743798"/>
    <w:rsid w:val="00747BEE"/>
    <w:rsid w:val="007508C1"/>
    <w:rsid w:val="00767257"/>
    <w:rsid w:val="00783A1F"/>
    <w:rsid w:val="007843F6"/>
    <w:rsid w:val="007E61CB"/>
    <w:rsid w:val="007F2F09"/>
    <w:rsid w:val="007F749E"/>
    <w:rsid w:val="008000EF"/>
    <w:rsid w:val="00804A4D"/>
    <w:rsid w:val="00821385"/>
    <w:rsid w:val="008217F1"/>
    <w:rsid w:val="00824696"/>
    <w:rsid w:val="00830D1C"/>
    <w:rsid w:val="00831F1F"/>
    <w:rsid w:val="00836D7B"/>
    <w:rsid w:val="008701CD"/>
    <w:rsid w:val="0087695D"/>
    <w:rsid w:val="008A4949"/>
    <w:rsid w:val="008A5634"/>
    <w:rsid w:val="008B3482"/>
    <w:rsid w:val="008C19AC"/>
    <w:rsid w:val="008E12DD"/>
    <w:rsid w:val="00907F74"/>
    <w:rsid w:val="00946016"/>
    <w:rsid w:val="009517EA"/>
    <w:rsid w:val="0098226F"/>
    <w:rsid w:val="0098792E"/>
    <w:rsid w:val="009F15FE"/>
    <w:rsid w:val="00A012EE"/>
    <w:rsid w:val="00A11EA6"/>
    <w:rsid w:val="00A130B7"/>
    <w:rsid w:val="00A21442"/>
    <w:rsid w:val="00A72BEE"/>
    <w:rsid w:val="00AB61E8"/>
    <w:rsid w:val="00AE6328"/>
    <w:rsid w:val="00B015F9"/>
    <w:rsid w:val="00B102F9"/>
    <w:rsid w:val="00B25D6F"/>
    <w:rsid w:val="00B30C9B"/>
    <w:rsid w:val="00B42090"/>
    <w:rsid w:val="00B657E0"/>
    <w:rsid w:val="00B7778A"/>
    <w:rsid w:val="00B841BE"/>
    <w:rsid w:val="00B90C08"/>
    <w:rsid w:val="00BA7315"/>
    <w:rsid w:val="00BB08E8"/>
    <w:rsid w:val="00C00010"/>
    <w:rsid w:val="00C022F3"/>
    <w:rsid w:val="00C2317D"/>
    <w:rsid w:val="00C60A79"/>
    <w:rsid w:val="00C823D7"/>
    <w:rsid w:val="00C84E7E"/>
    <w:rsid w:val="00CA26D6"/>
    <w:rsid w:val="00CA4048"/>
    <w:rsid w:val="00CA7496"/>
    <w:rsid w:val="00CB6A1D"/>
    <w:rsid w:val="00CE2EAB"/>
    <w:rsid w:val="00CE60C6"/>
    <w:rsid w:val="00CF402B"/>
    <w:rsid w:val="00D01420"/>
    <w:rsid w:val="00D338E2"/>
    <w:rsid w:val="00D34E22"/>
    <w:rsid w:val="00D4089C"/>
    <w:rsid w:val="00D5126E"/>
    <w:rsid w:val="00D51C7F"/>
    <w:rsid w:val="00D63C68"/>
    <w:rsid w:val="00D73D66"/>
    <w:rsid w:val="00D76DB1"/>
    <w:rsid w:val="00D84023"/>
    <w:rsid w:val="00D900B0"/>
    <w:rsid w:val="00D935EF"/>
    <w:rsid w:val="00DA7210"/>
    <w:rsid w:val="00DB2F79"/>
    <w:rsid w:val="00DC1EB3"/>
    <w:rsid w:val="00DD3096"/>
    <w:rsid w:val="00DD6307"/>
    <w:rsid w:val="00DE33EA"/>
    <w:rsid w:val="00DF376F"/>
    <w:rsid w:val="00DF5907"/>
    <w:rsid w:val="00E01D51"/>
    <w:rsid w:val="00E2377E"/>
    <w:rsid w:val="00E35101"/>
    <w:rsid w:val="00E60A01"/>
    <w:rsid w:val="00E801A0"/>
    <w:rsid w:val="00E9236C"/>
    <w:rsid w:val="00E95A52"/>
    <w:rsid w:val="00E96EB5"/>
    <w:rsid w:val="00EF0EAD"/>
    <w:rsid w:val="00F05B29"/>
    <w:rsid w:val="00F26790"/>
    <w:rsid w:val="00F34D85"/>
    <w:rsid w:val="00F4364B"/>
    <w:rsid w:val="00F5487A"/>
    <w:rsid w:val="00F652FA"/>
    <w:rsid w:val="00F67AAE"/>
    <w:rsid w:val="00F70995"/>
    <w:rsid w:val="00F73E6A"/>
    <w:rsid w:val="00F91226"/>
    <w:rsid w:val="00FA04EA"/>
    <w:rsid w:val="00FD79D0"/>
    <w:rsid w:val="00FE3F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08C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04A4D"/>
    <w:pPr>
      <w:ind w:left="720"/>
      <w:contextualSpacing/>
    </w:pPr>
  </w:style>
  <w:style w:type="paragraph" w:styleId="Kopfzeile">
    <w:name w:val="header"/>
    <w:basedOn w:val="Standard"/>
    <w:link w:val="KopfzeileZchn"/>
    <w:uiPriority w:val="99"/>
    <w:unhideWhenUsed/>
    <w:rsid w:val="00D63C68"/>
    <w:pPr>
      <w:tabs>
        <w:tab w:val="center" w:pos="4536"/>
        <w:tab w:val="right" w:pos="9072"/>
      </w:tabs>
    </w:pPr>
  </w:style>
  <w:style w:type="character" w:customStyle="1" w:styleId="KopfzeileZchn">
    <w:name w:val="Kopfzeile Zchn"/>
    <w:basedOn w:val="Absatz-Standardschriftart"/>
    <w:link w:val="Kopfzeile"/>
    <w:uiPriority w:val="99"/>
    <w:rsid w:val="00D63C68"/>
  </w:style>
  <w:style w:type="paragraph" w:styleId="Fuzeile">
    <w:name w:val="footer"/>
    <w:basedOn w:val="Standard"/>
    <w:link w:val="FuzeileZchn"/>
    <w:uiPriority w:val="99"/>
    <w:semiHidden/>
    <w:unhideWhenUsed/>
    <w:rsid w:val="00D63C68"/>
    <w:pPr>
      <w:tabs>
        <w:tab w:val="center" w:pos="4536"/>
        <w:tab w:val="right" w:pos="9072"/>
      </w:tabs>
    </w:pPr>
  </w:style>
  <w:style w:type="character" w:customStyle="1" w:styleId="FuzeileZchn">
    <w:name w:val="Fußzeile Zchn"/>
    <w:basedOn w:val="Absatz-Standardschriftart"/>
    <w:link w:val="Fuzeile"/>
    <w:uiPriority w:val="99"/>
    <w:semiHidden/>
    <w:rsid w:val="00D63C68"/>
  </w:style>
  <w:style w:type="character" w:styleId="Hyperlink">
    <w:name w:val="Hyperlink"/>
    <w:basedOn w:val="Absatz-Standardschriftart"/>
    <w:uiPriority w:val="99"/>
    <w:unhideWhenUsed/>
    <w:rsid w:val="00747B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er-zeitung.de/inhalt.kuhn-ueber-stuttgart-21-ob-frotz-kuhn-will-ueber-alternativen-zu-s21-reden.e03b7c65-b2ff-4eal-893a-7d74197e48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4277</Words>
  <Characters>26950</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Nico Nissen</cp:lastModifiedBy>
  <cp:revision>2</cp:revision>
  <cp:lastPrinted>2015-07-20T10:06:00Z</cp:lastPrinted>
  <dcterms:created xsi:type="dcterms:W3CDTF">2015-07-22T10:52:00Z</dcterms:created>
  <dcterms:modified xsi:type="dcterms:W3CDTF">2015-07-22T10:52:00Z</dcterms:modified>
</cp:coreProperties>
</file>