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36" w:rsidRDefault="00EF2736" w:rsidP="00D46E73"/>
    <w:p w:rsidR="005A5365" w:rsidRDefault="005A5365" w:rsidP="005A5365">
      <w:pPr>
        <w:pStyle w:val="Kopf-undFuzeilen"/>
        <w:spacing w:line="170" w:lineRule="atLeast"/>
        <w:rPr>
          <w:rFonts w:ascii="Bangla Sangam MN" w:eastAsia="Bangla Sangam MN" w:hAnsi="Bangla Sangam MN" w:cs="Bangla Sangam MN"/>
          <w:spacing w:val="20"/>
          <w:sz w:val="16"/>
          <w:szCs w:val="16"/>
        </w:rPr>
      </w:pPr>
      <w:r>
        <w:rPr>
          <w:noProof/>
        </w:rPr>
        <w:pict>
          <v:line id="_x0000_s1029" style="position:absolute;z-index:251663360;mso-position-horizontal-relative:page;mso-position-vertical-relative:page" from="14.2pt,306.2pt" to="28.35pt,306.2pt" strokeweight=".09mm">
            <w10:anchorlock/>
          </v:line>
        </w:pict>
      </w:r>
      <w:r>
        <w:rPr>
          <w:rFonts w:cs="Calibri"/>
          <w:noProof/>
        </w:rPr>
        <w:pict>
          <v:shapetype id="_x0000_t202" coordsize="21600,21600" o:spt="202" path="m,l,21600r21600,l21600,xe">
            <v:stroke joinstyle="miter"/>
            <v:path gradientshapeok="t" o:connecttype="rect"/>
          </v:shapetype>
          <v:shape id="_x0000_s1027" type="#_x0000_t202" style="position:absolute;margin-left:390pt;margin-top:147.4pt;width:133.45pt;height:136.9pt;z-index:251661312;mso-wrap-distance-left:4.5pt;mso-wrap-distance-top:4.5pt;mso-wrap-distance-right:4.5pt;mso-wrap-distance-bottom:4.5pt;mso-position-horizontal-relative:page;mso-position-vertical-relative:page" stroked="f">
            <v:fill color2="black"/>
            <v:textbox style="mso-next-textbox:#_x0000_s1027" inset="0,0,0,0">
              <w:txbxContent>
                <w:p w:rsidR="005A5365" w:rsidRDefault="005A5365" w:rsidP="005A5365">
                  <w:pPr>
                    <w:pStyle w:val="FreieForm"/>
                    <w:spacing w:line="168" w:lineRule="auto"/>
                    <w:ind w:left="11" w:right="709"/>
                    <w:rPr>
                      <w:rFonts w:ascii="Bangla Sangam MN" w:hAnsi="Bangla Sangam MN" w:cs="Bangla Sangam MN"/>
                      <w:sz w:val="4"/>
                      <w:szCs w:val="4"/>
                    </w:rPr>
                  </w:pPr>
                </w:p>
                <w:p w:rsidR="005A5365" w:rsidRPr="002C53B5" w:rsidRDefault="005A5365" w:rsidP="005A5365">
                  <w:pPr>
                    <w:pStyle w:val="FreieForm"/>
                    <w:ind w:left="11" w:right="709"/>
                    <w:rPr>
                      <w:rFonts w:eastAsia="Helvetica" w:cs="Helvetica"/>
                      <w:sz w:val="16"/>
                      <w:szCs w:val="16"/>
                    </w:rPr>
                  </w:pPr>
                  <w:r w:rsidRPr="002C53B5">
                    <w:rPr>
                      <w:rFonts w:ascii="Bangla Sangam MN" w:hAnsi="Bangla Sangam MN" w:cs="Bangla Sangam MN"/>
                      <w:sz w:val="16"/>
                      <w:szCs w:val="16"/>
                    </w:rPr>
                    <w:t>Hinter Oberkirch 10</w:t>
                  </w:r>
                </w:p>
                <w:p w:rsidR="005A5365" w:rsidRPr="002C53B5" w:rsidRDefault="005A5365" w:rsidP="005A5365">
                  <w:pPr>
                    <w:pStyle w:val="FreieForm"/>
                    <w:spacing w:line="168" w:lineRule="auto"/>
                    <w:ind w:left="11" w:right="709"/>
                    <w:rPr>
                      <w:rFonts w:eastAsia="Helvetica" w:cs="Helvetica"/>
                      <w:sz w:val="16"/>
                      <w:szCs w:val="16"/>
                    </w:rPr>
                  </w:pPr>
                </w:p>
                <w:p w:rsidR="005A5365" w:rsidRPr="002C53B5" w:rsidRDefault="005A5365" w:rsidP="005A5365">
                  <w:pPr>
                    <w:pStyle w:val="FreieForm"/>
                    <w:spacing w:line="168" w:lineRule="auto"/>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 xml:space="preserve">7 2 </w:t>
                  </w:r>
                  <w:proofErr w:type="spellStart"/>
                  <w:r w:rsidRPr="002C53B5">
                    <w:rPr>
                      <w:rFonts w:ascii="Bangla Sangam MN" w:hAnsi="Bangla Sangam MN" w:cs="Bangla Sangam MN"/>
                      <w:sz w:val="16"/>
                      <w:szCs w:val="16"/>
                    </w:rPr>
                    <w:t>2</w:t>
                  </w:r>
                  <w:proofErr w:type="spellEnd"/>
                  <w:r w:rsidRPr="002C53B5">
                    <w:rPr>
                      <w:rFonts w:ascii="Bangla Sangam MN" w:hAnsi="Bangla Sangam MN" w:cs="Bangla Sangam MN"/>
                      <w:sz w:val="16"/>
                      <w:szCs w:val="16"/>
                    </w:rPr>
                    <w:t xml:space="preserve"> 0 2   N A G O L D</w:t>
                  </w:r>
                </w:p>
                <w:p w:rsidR="005A5365" w:rsidRPr="002C53B5" w:rsidRDefault="005A5365" w:rsidP="005A5365">
                  <w:pPr>
                    <w:pStyle w:val="FreieForm"/>
                    <w:spacing w:line="168" w:lineRule="auto"/>
                    <w:ind w:left="11" w:right="709"/>
                    <w:rPr>
                      <w:rFonts w:ascii="Times New Roman" w:eastAsia="Times New Roman" w:hAnsi="Times New Roman" w:cs="Times New Roman"/>
                      <w:sz w:val="16"/>
                      <w:szCs w:val="16"/>
                    </w:rPr>
                  </w:pPr>
                </w:p>
                <w:p w:rsidR="005A5365" w:rsidRPr="002C53B5" w:rsidRDefault="005A5365" w:rsidP="005A5365">
                  <w:pPr>
                    <w:pStyle w:val="FreieForm"/>
                    <w:rPr>
                      <w:rFonts w:ascii="Bangla Sangam MN" w:hAnsi="Bangla Sangam MN" w:cs="Bangla Sangam MN"/>
                      <w:sz w:val="16"/>
                      <w:szCs w:val="16"/>
                    </w:rPr>
                  </w:pPr>
                  <w:r w:rsidRPr="002C53B5">
                    <w:rPr>
                      <w:rFonts w:ascii="Bangla Sangam MN" w:hAnsi="Bangla Sangam MN" w:cs="Bangla Sangam MN"/>
                      <w:sz w:val="16"/>
                      <w:szCs w:val="16"/>
                    </w:rPr>
                    <w:t>Tel. 0 74 52 / 49 95 oder 4</w:t>
                  </w:r>
                  <w:r>
                    <w:rPr>
                      <w:rFonts w:ascii="Bangla Sangam MN" w:hAnsi="Bangla Sangam MN" w:cs="Bangla Sangam MN"/>
                      <w:sz w:val="16"/>
                      <w:szCs w:val="16"/>
                    </w:rPr>
                    <w:t>9</w:t>
                  </w:r>
                  <w:r w:rsidRPr="002C53B5">
                    <w:rPr>
                      <w:rFonts w:ascii="Bangla Sangam MN" w:hAnsi="Bangla Sangam MN" w:cs="Bangla Sangam MN"/>
                      <w:sz w:val="16"/>
                      <w:szCs w:val="16"/>
                    </w:rPr>
                    <w:t xml:space="preserve"> 07</w:t>
                  </w:r>
                </w:p>
                <w:p w:rsidR="005A5365" w:rsidRPr="002C53B5" w:rsidRDefault="005A5365" w:rsidP="005A5365">
                  <w:pPr>
                    <w:pStyle w:val="FreieForm"/>
                    <w:spacing w:line="216" w:lineRule="auto"/>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Fax 0 74 52 / 10 11</w:t>
                  </w:r>
                </w:p>
                <w:p w:rsidR="005A5365" w:rsidRPr="002C53B5" w:rsidRDefault="005A5365" w:rsidP="005A5365">
                  <w:pPr>
                    <w:pStyle w:val="FreieForm"/>
                    <w:rPr>
                      <w:rFonts w:ascii="Times New Roman" w:eastAsia="Times New Roman" w:hAnsi="Times New Roman" w:cs="Times New Roman"/>
                      <w:sz w:val="16"/>
                      <w:szCs w:val="16"/>
                    </w:rPr>
                  </w:pPr>
                  <w:r w:rsidRPr="002C53B5">
                    <w:rPr>
                      <w:rFonts w:ascii="Times New Roman" w:eastAsia="Times New Roman" w:hAnsi="Times New Roman" w:cs="Times New Roman"/>
                      <w:sz w:val="16"/>
                      <w:szCs w:val="16"/>
                    </w:rPr>
                    <w:t xml:space="preserve"> </w:t>
                  </w:r>
                </w:p>
                <w:p w:rsidR="005A5365" w:rsidRPr="002C53B5" w:rsidRDefault="005A5365" w:rsidP="005A5365">
                  <w:pPr>
                    <w:pStyle w:val="FreieForm"/>
                    <w:rPr>
                      <w:rFonts w:ascii="Times New Roman" w:eastAsia="Times New Roman" w:hAnsi="Times New Roman" w:cs="Times New Roman"/>
                      <w:sz w:val="16"/>
                      <w:szCs w:val="16"/>
                    </w:rPr>
                  </w:pPr>
                </w:p>
                <w:p w:rsidR="005A5365" w:rsidRPr="002C53B5" w:rsidRDefault="005A5365" w:rsidP="005A5365">
                  <w:pPr>
                    <w:pStyle w:val="FreieForm"/>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Unser Zeichen</w:t>
                  </w:r>
                  <w:r>
                    <w:rPr>
                      <w:rFonts w:ascii="Bangla Sangam MN" w:hAnsi="Bangla Sangam MN" w:cs="Bangla Sangam MN"/>
                      <w:sz w:val="16"/>
                      <w:szCs w:val="16"/>
                    </w:rPr>
                    <w:t>:</w:t>
                  </w:r>
                </w:p>
                <w:p w:rsidR="005A5365" w:rsidRPr="002C53B5" w:rsidRDefault="005A5365" w:rsidP="005A5365">
                  <w:pPr>
                    <w:pStyle w:val="FreieForm"/>
                    <w:rPr>
                      <w:rFonts w:ascii="Bangla Sangam MN" w:hAnsi="Bangla Sangam MN" w:cs="Bangla Sangam MN"/>
                      <w:sz w:val="16"/>
                      <w:szCs w:val="16"/>
                    </w:rPr>
                  </w:pPr>
                </w:p>
                <w:p w:rsidR="005A5365" w:rsidRDefault="005A5365" w:rsidP="005A5365">
                  <w:pPr>
                    <w:pStyle w:val="FreieForm"/>
                    <w:ind w:left="11" w:right="709"/>
                    <w:rPr>
                      <w:rFonts w:ascii="Bangla Sangam MN" w:hAnsi="Bangla Sangam MN" w:cs="Bangla Sangam MN"/>
                      <w:sz w:val="16"/>
                      <w:szCs w:val="16"/>
                    </w:rPr>
                  </w:pPr>
                  <w:r w:rsidRPr="002C53B5">
                    <w:rPr>
                      <w:rFonts w:ascii="Bangla Sangam MN" w:hAnsi="Bangla Sangam MN" w:cs="Bangla Sangam MN"/>
                      <w:sz w:val="16"/>
                      <w:szCs w:val="16"/>
                    </w:rPr>
                    <w:t>bitte stets angeben</w:t>
                  </w:r>
                </w:p>
                <w:p w:rsidR="005A5365" w:rsidRDefault="005A5365" w:rsidP="005A5365">
                  <w:pPr>
                    <w:pStyle w:val="FreieForm"/>
                    <w:ind w:left="11" w:right="709"/>
                    <w:rPr>
                      <w:rFonts w:ascii="Bangla Sangam MN" w:hAnsi="Bangla Sangam MN" w:cs="Bangla Sangam MN"/>
                      <w:sz w:val="16"/>
                      <w:szCs w:val="16"/>
                    </w:rPr>
                  </w:pPr>
                </w:p>
                <w:p w:rsidR="005A5365" w:rsidRPr="002C53B5" w:rsidRDefault="005A5365" w:rsidP="005A5365">
                  <w:pPr>
                    <w:pStyle w:val="FreieForm"/>
                    <w:ind w:left="11" w:right="709"/>
                    <w:rPr>
                      <w:rFonts w:ascii="Bangla Sangam MN" w:hAnsi="Bangla Sangam MN" w:cs="Bangla Sangam MN"/>
                      <w:sz w:val="16"/>
                      <w:szCs w:val="16"/>
                    </w:rPr>
                  </w:pPr>
                  <w:r>
                    <w:rPr>
                      <w:rFonts w:ascii="Bangla Sangam MN" w:hAnsi="Bangla Sangam MN" w:cs="Bangla Sangam MN"/>
                      <w:sz w:val="16"/>
                      <w:szCs w:val="16"/>
                    </w:rPr>
                    <w:t>30.7.2018</w:t>
                  </w:r>
                </w:p>
                <w:p w:rsidR="005A5365" w:rsidRPr="002C53B5" w:rsidRDefault="005A5365" w:rsidP="005A5365">
                  <w:pPr>
                    <w:pStyle w:val="FreieForm"/>
                    <w:ind w:left="11" w:right="709"/>
                    <w:rPr>
                      <w:sz w:val="16"/>
                      <w:szCs w:val="16"/>
                    </w:rPr>
                  </w:pPr>
                </w:p>
                <w:p w:rsidR="005A5365" w:rsidRPr="002C53B5" w:rsidRDefault="005A5365" w:rsidP="005A5365">
                  <w:pPr>
                    <w:pStyle w:val="FreieForm"/>
                    <w:ind w:left="11" w:right="709"/>
                    <w:rPr>
                      <w:sz w:val="16"/>
                      <w:szCs w:val="16"/>
                    </w:rPr>
                  </w:pPr>
                </w:p>
              </w:txbxContent>
            </v:textbox>
            <w10:anchorlock/>
          </v:shape>
        </w:pict>
      </w:r>
      <w:r>
        <w:rPr>
          <w:rFonts w:cs="Calibri"/>
          <w:noProof/>
        </w:rPr>
        <w:pict>
          <v:shape id="_x0000_s1026" type="#_x0000_t202" style="position:absolute;margin-left:70.95pt;margin-top:147.4pt;width:240.8pt;height:102.7pt;z-index:251660288;mso-wrap-distance-left:4.5pt;mso-wrap-distance-top:4.5pt;mso-wrap-distance-right:4.5pt;mso-wrap-distance-bottom:4.5pt;mso-position-horizontal-relative:page;mso-position-vertical-relative:page" stroked="f">
            <v:fill color2="black"/>
            <v:textbox style="mso-next-textbox:#_x0000_s1026" inset="0,0,0,0">
              <w:txbxContent>
                <w:p w:rsidR="005A5365" w:rsidRDefault="005A5365" w:rsidP="005A5365">
                  <w:pPr>
                    <w:pStyle w:val="FreieForm"/>
                    <w:spacing w:after="120"/>
                    <w:rPr>
                      <w:rFonts w:ascii="Bangla Sangam MN" w:eastAsia="Bangla Sangam MN" w:hAnsi="Bangla Sangam MN" w:cs="Bangla Sangam MN"/>
                      <w:sz w:val="22"/>
                      <w:szCs w:val="22"/>
                      <w:u w:color="000000"/>
                    </w:rPr>
                  </w:pPr>
                  <w:r>
                    <w:rPr>
                      <w:rFonts w:ascii="Bangla Sangam MN" w:hAnsi="Bangla Sangam MN" w:cs="Bangla Sangam MN"/>
                      <w:sz w:val="14"/>
                      <w:szCs w:val="14"/>
                      <w:u w:val="single" w:color="000000"/>
                    </w:rPr>
                    <w:t>Rechtsanwalt Dr. v. Loeper ∙ Hinter Oberkirch 10 ∙ 72202 Nagold</w:t>
                  </w:r>
                </w:p>
                <w:p w:rsidR="005A5365" w:rsidRPr="00846F40" w:rsidRDefault="005A5365" w:rsidP="005A5365">
                  <w:pPr>
                    <w:pStyle w:val="FreieForm"/>
                    <w:spacing w:line="300" w:lineRule="exact"/>
                    <w:rPr>
                      <w:rFonts w:ascii="Calibri" w:eastAsia="Bangla Sangam MN" w:hAnsi="Calibri" w:cs="Calibri"/>
                      <w:sz w:val="22"/>
                      <w:szCs w:val="22"/>
                      <w:u w:color="000000"/>
                    </w:rPr>
                  </w:pPr>
                  <w:r w:rsidRPr="00846F40">
                    <w:rPr>
                      <w:rFonts w:ascii="Calibri" w:hAnsi="Calibri" w:cs="Calibri"/>
                    </w:rPr>
                    <w:br/>
                  </w:r>
                  <w:r w:rsidRPr="00846F40">
                    <w:rPr>
                      <w:rFonts w:ascii="Calibri" w:hAnsi="Calibri" w:cs="Calibri"/>
                    </w:rPr>
                    <w:br/>
                  </w:r>
                  <w:r>
                    <w:rPr>
                      <w:rFonts w:ascii="Calibri" w:hAnsi="Calibri" w:cs="Calibri"/>
                    </w:rPr>
                    <w:t>Generals</w:t>
                  </w:r>
                  <w:r w:rsidRPr="00846F40">
                    <w:rPr>
                      <w:rFonts w:ascii="Calibri" w:hAnsi="Calibri" w:cs="Calibri"/>
                    </w:rPr>
                    <w:t>taatsanwaltschaft Berlin</w:t>
                  </w:r>
                </w:p>
                <w:p w:rsidR="005A5365" w:rsidRPr="00846F40" w:rsidRDefault="005A5365" w:rsidP="005A5365">
                  <w:pPr>
                    <w:pStyle w:val="FreieForm"/>
                    <w:spacing w:line="300" w:lineRule="exact"/>
                    <w:rPr>
                      <w:rFonts w:ascii="Calibri" w:eastAsia="Bangla Sangam MN" w:hAnsi="Calibri" w:cs="Calibri"/>
                      <w:sz w:val="22"/>
                      <w:szCs w:val="22"/>
                      <w:u w:val="single" w:color="000000"/>
                    </w:rPr>
                  </w:pPr>
                  <w:r w:rsidRPr="00846F40">
                    <w:rPr>
                      <w:rFonts w:ascii="Calibri" w:hAnsi="Calibri" w:cs="Calibri"/>
                    </w:rPr>
                    <w:t>10</w:t>
                  </w:r>
                  <w:r>
                    <w:rPr>
                      <w:rFonts w:ascii="Calibri" w:hAnsi="Calibri" w:cs="Calibri"/>
                    </w:rPr>
                    <w:t>7</w:t>
                  </w:r>
                  <w:r w:rsidRPr="00846F40">
                    <w:rPr>
                      <w:rFonts w:ascii="Calibri" w:hAnsi="Calibri" w:cs="Calibri"/>
                    </w:rPr>
                    <w:t>8</w:t>
                  </w:r>
                  <w:r>
                    <w:rPr>
                      <w:rFonts w:ascii="Calibri" w:hAnsi="Calibri" w:cs="Calibri"/>
                    </w:rPr>
                    <w:t>1</w:t>
                  </w:r>
                  <w:r w:rsidRPr="00846F40">
                    <w:rPr>
                      <w:rFonts w:ascii="Calibri" w:hAnsi="Calibri" w:cs="Calibri"/>
                    </w:rPr>
                    <w:t xml:space="preserve"> Berlin</w:t>
                  </w:r>
                  <w:r w:rsidRPr="00846F40">
                    <w:rPr>
                      <w:rFonts w:ascii="Calibri" w:eastAsia="Bangla Sangam MN" w:hAnsi="Calibri" w:cs="Calibri"/>
                      <w:sz w:val="22"/>
                      <w:szCs w:val="22"/>
                      <w:u w:color="000000"/>
                    </w:rPr>
                    <w:br/>
                  </w:r>
                </w:p>
              </w:txbxContent>
            </v:textbox>
            <w10:anchorlock/>
          </v:shape>
        </w:pict>
      </w:r>
      <w:r>
        <w:rPr>
          <w:noProof/>
        </w:rPr>
        <w:pict>
          <v:shape id="_x0000_s1028" type="#_x0000_t202" style="position:absolute;margin-left:0;margin-top:56.7pt;width:161.05pt;height:29.45pt;z-index:251662336;mso-wrap-style:none;mso-position-horizontal:center;mso-position-horizontal-relative:margin;mso-position-vertical-relative:page" stroked="f">
            <v:textbox style="mso-next-textbox:#_x0000_s1028;mso-fit-shape-to-text:t">
              <w:txbxContent>
                <w:p w:rsidR="005A5365" w:rsidRDefault="005A5365" w:rsidP="005A5365">
                  <w:pPr>
                    <w:pStyle w:val="Kopf-undFuzeilen"/>
                    <w:spacing w:line="170" w:lineRule="atLeast"/>
                    <w:jc w:val="center"/>
                    <w:rPr>
                      <w:rFonts w:ascii="Bangla Sangam MN" w:hAnsi="Bangla Sangam MN" w:cs="Bangla Sangam MN"/>
                      <w:spacing w:val="20"/>
                      <w:sz w:val="16"/>
                      <w:szCs w:val="16"/>
                    </w:rPr>
                  </w:pPr>
                  <w:r>
                    <w:rPr>
                      <w:rFonts w:ascii="Bangla Sangam MN" w:hAnsi="Bangla Sangam MN" w:cs="Bangla Sangam MN"/>
                      <w:spacing w:val="21"/>
                      <w:sz w:val="22"/>
                      <w:szCs w:val="22"/>
                    </w:rPr>
                    <w:t>Dr. EISENHART v. LOEPER</w:t>
                  </w:r>
                </w:p>
                <w:p w:rsidR="005A5365" w:rsidRPr="003875D9" w:rsidRDefault="005A5365" w:rsidP="005A5365">
                  <w:pPr>
                    <w:pStyle w:val="Kopf-undFuzeilen"/>
                    <w:spacing w:line="170" w:lineRule="atLeast"/>
                    <w:jc w:val="center"/>
                    <w:rPr>
                      <w:rFonts w:ascii="Bangla Sangam MN" w:hAnsi="Bangla Sangam MN" w:cs="Bangla Sangam MN"/>
                      <w:spacing w:val="20"/>
                      <w:sz w:val="16"/>
                      <w:szCs w:val="16"/>
                    </w:rPr>
                  </w:pPr>
                  <w:r>
                    <w:rPr>
                      <w:rFonts w:ascii="Bangla Sangam MN" w:hAnsi="Bangla Sangam MN" w:cs="Bangla Sangam MN"/>
                      <w:spacing w:val="20"/>
                      <w:sz w:val="16"/>
                      <w:szCs w:val="16"/>
                    </w:rPr>
                    <w:t>RECHTSANWALT</w:t>
                  </w:r>
                </w:p>
              </w:txbxContent>
            </v:textbox>
            <w10:wrap type="square" anchorx="margin" anchory="page"/>
            <w10:anchorlock/>
          </v:shape>
        </w:pict>
      </w:r>
    </w:p>
    <w:p w:rsidR="005A5365" w:rsidRDefault="005A5365" w:rsidP="005A5365">
      <w:pPr>
        <w:pStyle w:val="Kopfzeile"/>
      </w:pPr>
    </w:p>
    <w:p w:rsidR="005A5365" w:rsidRPr="00C916E4" w:rsidRDefault="005A5365" w:rsidP="005A5365">
      <w:pPr>
        <w:rPr>
          <w:rFonts w:cs="Calibri"/>
          <w:sz w:val="24"/>
          <w:szCs w:val="24"/>
        </w:rPr>
      </w:pPr>
    </w:p>
    <w:p w:rsidR="005A5365" w:rsidRPr="00C916E4" w:rsidRDefault="005A5365" w:rsidP="005A5365">
      <w:pPr>
        <w:rPr>
          <w:rFonts w:cs="Calibri"/>
          <w:sz w:val="24"/>
          <w:szCs w:val="24"/>
        </w:rPr>
      </w:pPr>
    </w:p>
    <w:p w:rsidR="005A5365" w:rsidRPr="00C916E4" w:rsidRDefault="005A5365" w:rsidP="005A5365">
      <w:pPr>
        <w:spacing w:after="100" w:afterAutospacing="1"/>
        <w:rPr>
          <w:rFonts w:cs="Calibri"/>
          <w:sz w:val="24"/>
          <w:szCs w:val="24"/>
        </w:rPr>
      </w:pPr>
    </w:p>
    <w:p w:rsidR="005A5365" w:rsidRPr="00C916E4" w:rsidRDefault="005A5365" w:rsidP="005A5365">
      <w:pPr>
        <w:rPr>
          <w:rFonts w:cs="Calibri"/>
          <w:sz w:val="24"/>
          <w:szCs w:val="24"/>
        </w:rPr>
      </w:pPr>
    </w:p>
    <w:p w:rsidR="005A5365" w:rsidRPr="00C916E4" w:rsidRDefault="005A5365" w:rsidP="005A5365">
      <w:pPr>
        <w:rPr>
          <w:rFonts w:cs="Calibri"/>
          <w:sz w:val="24"/>
          <w:szCs w:val="24"/>
        </w:rPr>
      </w:pPr>
    </w:p>
    <w:p w:rsidR="005A5365" w:rsidRPr="00C916E4" w:rsidRDefault="005A5365" w:rsidP="005A5365">
      <w:pPr>
        <w:rPr>
          <w:rFonts w:cs="Calibri"/>
          <w:sz w:val="24"/>
          <w:szCs w:val="24"/>
        </w:rPr>
      </w:pPr>
    </w:p>
    <w:p w:rsidR="005A5365" w:rsidRPr="00C916E4" w:rsidRDefault="005A5365" w:rsidP="005A5365">
      <w:pPr>
        <w:rPr>
          <w:rFonts w:cs="Calibri"/>
          <w:sz w:val="24"/>
          <w:szCs w:val="24"/>
        </w:rPr>
      </w:pPr>
    </w:p>
    <w:p w:rsidR="00595A0F" w:rsidRPr="009B3960" w:rsidRDefault="00595A0F" w:rsidP="00D46E73">
      <w:pPr>
        <w:rPr>
          <w:sz w:val="24"/>
        </w:rPr>
      </w:pPr>
    </w:p>
    <w:p w:rsidR="00595A0F" w:rsidRPr="009B3960" w:rsidRDefault="00595A0F" w:rsidP="00D46E73">
      <w:pPr>
        <w:rPr>
          <w:b/>
          <w:sz w:val="24"/>
        </w:rPr>
      </w:pPr>
      <w:r w:rsidRPr="009B3960">
        <w:rPr>
          <w:b/>
          <w:sz w:val="24"/>
        </w:rPr>
        <w:t>121 Zs 591/18</w:t>
      </w:r>
    </w:p>
    <w:p w:rsidR="00AF0D36" w:rsidRDefault="00AF0D36" w:rsidP="00D46E73">
      <w:pPr>
        <w:rPr>
          <w:b/>
          <w:sz w:val="24"/>
        </w:rPr>
      </w:pPr>
    </w:p>
    <w:p w:rsidR="00595A0F" w:rsidRPr="009B3960" w:rsidRDefault="00595A0F" w:rsidP="00D46E73">
      <w:pPr>
        <w:rPr>
          <w:b/>
          <w:sz w:val="24"/>
        </w:rPr>
      </w:pPr>
      <w:r w:rsidRPr="009B3960">
        <w:rPr>
          <w:b/>
          <w:sz w:val="24"/>
        </w:rPr>
        <w:t>Gegenvor</w:t>
      </w:r>
      <w:r w:rsidR="00442F01" w:rsidRPr="009B3960">
        <w:rPr>
          <w:b/>
          <w:sz w:val="24"/>
        </w:rPr>
        <w:t>stellung gegen den Beschwerdebe</w:t>
      </w:r>
      <w:r w:rsidRPr="009B3960">
        <w:rPr>
          <w:b/>
          <w:sz w:val="24"/>
        </w:rPr>
        <w:t>scheid vom 21.06.2018, fertig gestellt am 5.07.18, zugestellt am 12.07.2018</w:t>
      </w:r>
    </w:p>
    <w:p w:rsidR="00E67EB3" w:rsidRPr="009B3960" w:rsidRDefault="00E67EB3" w:rsidP="00D46E73">
      <w:pPr>
        <w:rPr>
          <w:sz w:val="24"/>
        </w:rPr>
      </w:pPr>
    </w:p>
    <w:p w:rsidR="00AF0D36" w:rsidRPr="009B3960" w:rsidRDefault="00AF0D36" w:rsidP="00D46E73">
      <w:pPr>
        <w:rPr>
          <w:sz w:val="24"/>
        </w:rPr>
      </w:pPr>
      <w:r w:rsidRPr="009B3960">
        <w:rPr>
          <w:sz w:val="24"/>
        </w:rPr>
        <w:t>Sehr geehrte Frau Generalstaatsanwältin Koppers,</w:t>
      </w:r>
    </w:p>
    <w:p w:rsidR="00AF0D36" w:rsidRPr="009B3960" w:rsidRDefault="00AF0D36" w:rsidP="00D46E73">
      <w:pPr>
        <w:rPr>
          <w:sz w:val="24"/>
        </w:rPr>
      </w:pPr>
      <w:r w:rsidRPr="009B3960">
        <w:rPr>
          <w:sz w:val="24"/>
        </w:rPr>
        <w:t>sehr geehrter Herr Justizsenator Dr. Behrendt,</w:t>
      </w:r>
    </w:p>
    <w:p w:rsidR="00442F01" w:rsidRPr="009B3960" w:rsidRDefault="00AF0D36" w:rsidP="00D46E73">
      <w:pPr>
        <w:rPr>
          <w:sz w:val="24"/>
        </w:rPr>
      </w:pPr>
      <w:r w:rsidRPr="009B3960">
        <w:rPr>
          <w:sz w:val="24"/>
        </w:rPr>
        <w:t>d</w:t>
      </w:r>
      <w:r w:rsidR="00A96EAF" w:rsidRPr="009B3960">
        <w:rPr>
          <w:sz w:val="24"/>
        </w:rPr>
        <w:t>er  vorbezeichnete</w:t>
      </w:r>
      <w:r w:rsidR="00442F01" w:rsidRPr="009B3960">
        <w:rPr>
          <w:sz w:val="24"/>
        </w:rPr>
        <w:t xml:space="preserve"> Bescheid </w:t>
      </w:r>
      <w:r w:rsidR="00A96EAF" w:rsidRPr="009B3960">
        <w:rPr>
          <w:sz w:val="24"/>
        </w:rPr>
        <w:t xml:space="preserve">schließt sich dem Parallelbescheid in der Sache 121 Zs 366/18 der Generalstaatsanwaltschaft </w:t>
      </w:r>
      <w:r w:rsidR="00C846B7" w:rsidRPr="009B3960">
        <w:rPr>
          <w:sz w:val="24"/>
        </w:rPr>
        <w:t xml:space="preserve">Berlin </w:t>
      </w:r>
      <w:r w:rsidR="00A96EAF" w:rsidRPr="009B3960">
        <w:rPr>
          <w:sz w:val="24"/>
        </w:rPr>
        <w:t xml:space="preserve"> g</w:t>
      </w:r>
      <w:r w:rsidR="00E67EB3">
        <w:rPr>
          <w:sz w:val="24"/>
        </w:rPr>
        <w:t xml:space="preserve">rundlegend an, denn es werden in gleicher Weise „zureichende tatsächliche Anhaltspunkte für eine zumindest bedingt vorsätzliche pflichtwidrige Schädigung des Vermögens der Deutsche Bahn AG“ verneint. </w:t>
      </w:r>
      <w:r w:rsidR="00A96EAF" w:rsidRPr="009B3960">
        <w:rPr>
          <w:sz w:val="24"/>
        </w:rPr>
        <w:t xml:space="preserve"> Daher werden die </w:t>
      </w:r>
      <w:r w:rsidR="00E67EB3">
        <w:rPr>
          <w:sz w:val="24"/>
        </w:rPr>
        <w:t xml:space="preserve">in der Parallelsache </w:t>
      </w:r>
      <w:r w:rsidR="00641468">
        <w:rPr>
          <w:sz w:val="24"/>
        </w:rPr>
        <w:t xml:space="preserve"> am </w:t>
      </w:r>
      <w:r w:rsidR="00A96EAF" w:rsidRPr="009B3960">
        <w:rPr>
          <w:sz w:val="24"/>
        </w:rPr>
        <w:t xml:space="preserve">25.07.2018 </w:t>
      </w:r>
      <w:r w:rsidR="00641468">
        <w:rPr>
          <w:sz w:val="24"/>
        </w:rPr>
        <w:t xml:space="preserve">erhobenen Einwände </w:t>
      </w:r>
      <w:r w:rsidR="00A96EAF" w:rsidRPr="009B3960">
        <w:rPr>
          <w:sz w:val="24"/>
        </w:rPr>
        <w:t xml:space="preserve">in den nachfolgenden Abschnitten I </w:t>
      </w:r>
      <w:r w:rsidR="00C846B7" w:rsidRPr="009B3960">
        <w:rPr>
          <w:sz w:val="24"/>
        </w:rPr>
        <w:t xml:space="preserve">bis III </w:t>
      </w:r>
      <w:r w:rsidR="00210144">
        <w:rPr>
          <w:sz w:val="24"/>
        </w:rPr>
        <w:t xml:space="preserve">mit wenigen Abweichungen </w:t>
      </w:r>
      <w:r w:rsidR="001A57F7">
        <w:rPr>
          <w:sz w:val="24"/>
        </w:rPr>
        <w:t>übernommen. A</w:t>
      </w:r>
      <w:r w:rsidR="007D23A4">
        <w:rPr>
          <w:sz w:val="24"/>
        </w:rPr>
        <w:t xml:space="preserve">nschließend </w:t>
      </w:r>
      <w:r w:rsidR="00641468">
        <w:rPr>
          <w:sz w:val="24"/>
        </w:rPr>
        <w:t xml:space="preserve">wird </w:t>
      </w:r>
      <w:r w:rsidR="001A57F7">
        <w:rPr>
          <w:sz w:val="24"/>
        </w:rPr>
        <w:t xml:space="preserve">(S. </w:t>
      </w:r>
      <w:r w:rsidR="00E5512E">
        <w:rPr>
          <w:sz w:val="24"/>
        </w:rPr>
        <w:t>7</w:t>
      </w:r>
      <w:r w:rsidR="00942D3E">
        <w:rPr>
          <w:sz w:val="24"/>
        </w:rPr>
        <w:t xml:space="preserve"> </w:t>
      </w:r>
      <w:r w:rsidR="00E5512E">
        <w:rPr>
          <w:sz w:val="24"/>
        </w:rPr>
        <w:t>f</w:t>
      </w:r>
      <w:r w:rsidR="001A57F7">
        <w:rPr>
          <w:sz w:val="24"/>
        </w:rPr>
        <w:t>f</w:t>
      </w:r>
      <w:r w:rsidR="00E5512E">
        <w:rPr>
          <w:sz w:val="24"/>
        </w:rPr>
        <w:t xml:space="preserve">.) </w:t>
      </w:r>
      <w:r w:rsidR="00641468">
        <w:rPr>
          <w:sz w:val="24"/>
        </w:rPr>
        <w:t>auf</w:t>
      </w:r>
      <w:r w:rsidR="00E5512E">
        <w:rPr>
          <w:sz w:val="24"/>
        </w:rPr>
        <w:t xml:space="preserve"> </w:t>
      </w:r>
      <w:r w:rsidR="00641468">
        <w:rPr>
          <w:sz w:val="24"/>
        </w:rPr>
        <w:t xml:space="preserve">besondere Aspekte des </w:t>
      </w:r>
      <w:r w:rsidR="00795B91">
        <w:rPr>
          <w:sz w:val="24"/>
        </w:rPr>
        <w:t>v</w:t>
      </w:r>
      <w:r w:rsidR="00E67EB3">
        <w:rPr>
          <w:sz w:val="24"/>
        </w:rPr>
        <w:t>orliegend ergangenen Beschwerde</w:t>
      </w:r>
      <w:r w:rsidR="00795B91">
        <w:rPr>
          <w:sz w:val="24"/>
        </w:rPr>
        <w:t>bescheid</w:t>
      </w:r>
      <w:r w:rsidR="00641468">
        <w:rPr>
          <w:sz w:val="24"/>
        </w:rPr>
        <w:t>s</w:t>
      </w:r>
      <w:r w:rsidR="00795B91">
        <w:rPr>
          <w:sz w:val="24"/>
        </w:rPr>
        <w:t xml:space="preserve"> </w:t>
      </w:r>
      <w:r w:rsidR="00641468">
        <w:rPr>
          <w:sz w:val="24"/>
        </w:rPr>
        <w:t xml:space="preserve">entgegnet, welche </w:t>
      </w:r>
      <w:r w:rsidR="00795B91">
        <w:rPr>
          <w:sz w:val="24"/>
        </w:rPr>
        <w:t>die</w:t>
      </w:r>
      <w:r w:rsidR="00C846B7" w:rsidRPr="009B3960">
        <w:rPr>
          <w:sz w:val="24"/>
        </w:rPr>
        <w:t xml:space="preserve"> Neuanzeige </w:t>
      </w:r>
      <w:r w:rsidR="00795B91">
        <w:rPr>
          <w:sz w:val="24"/>
        </w:rPr>
        <w:t xml:space="preserve">vom 12.02.2018 </w:t>
      </w:r>
      <w:r w:rsidR="00C846B7" w:rsidRPr="009B3960">
        <w:rPr>
          <w:sz w:val="24"/>
        </w:rPr>
        <w:t>aufgrund des vom DB-Vorstand initiierten Aufsichtsrats</w:t>
      </w:r>
      <w:r w:rsidR="00641468">
        <w:rPr>
          <w:sz w:val="24"/>
        </w:rPr>
        <w:t>-</w:t>
      </w:r>
      <w:proofErr w:type="spellStart"/>
      <w:r w:rsidR="00C846B7" w:rsidRPr="009B3960">
        <w:rPr>
          <w:sz w:val="24"/>
        </w:rPr>
        <w:t>beschlusses</w:t>
      </w:r>
      <w:proofErr w:type="spellEnd"/>
      <w:r w:rsidR="00C846B7" w:rsidRPr="009B3960">
        <w:rPr>
          <w:sz w:val="24"/>
        </w:rPr>
        <w:t xml:space="preserve"> vom 26.01.2018</w:t>
      </w:r>
      <w:r w:rsidR="007D23A4">
        <w:rPr>
          <w:sz w:val="24"/>
        </w:rPr>
        <w:t xml:space="preserve"> </w:t>
      </w:r>
      <w:r w:rsidR="00641468">
        <w:rPr>
          <w:sz w:val="24"/>
        </w:rPr>
        <w:t>betreffen</w:t>
      </w:r>
      <w:r w:rsidR="00C846B7" w:rsidRPr="009B3960">
        <w:rPr>
          <w:sz w:val="24"/>
        </w:rPr>
        <w:t xml:space="preserve">. </w:t>
      </w:r>
      <w:r w:rsidR="001A57F7">
        <w:rPr>
          <w:sz w:val="24"/>
        </w:rPr>
        <w:t xml:space="preserve">Dementsprechend </w:t>
      </w:r>
      <w:r w:rsidR="00442F01" w:rsidRPr="009B3960">
        <w:rPr>
          <w:sz w:val="24"/>
        </w:rPr>
        <w:t>erheben wir folgende</w:t>
      </w:r>
    </w:p>
    <w:p w:rsidR="00A96EAF" w:rsidRPr="009B3960" w:rsidRDefault="00442F01" w:rsidP="00D46E73">
      <w:pPr>
        <w:rPr>
          <w:sz w:val="24"/>
        </w:rPr>
      </w:pPr>
      <w:r w:rsidRPr="009B3960">
        <w:rPr>
          <w:sz w:val="24"/>
        </w:rPr>
        <w:t xml:space="preserve">                                        </w:t>
      </w:r>
      <w:r w:rsidR="00AF0D36" w:rsidRPr="009B3960">
        <w:rPr>
          <w:sz w:val="24"/>
        </w:rPr>
        <w:t xml:space="preserve">               </w:t>
      </w:r>
      <w:r w:rsidR="009B3960">
        <w:rPr>
          <w:sz w:val="24"/>
        </w:rPr>
        <w:t xml:space="preserve">        </w:t>
      </w:r>
      <w:r w:rsidRPr="009B3960">
        <w:rPr>
          <w:sz w:val="24"/>
        </w:rPr>
        <w:t xml:space="preserve"> </w:t>
      </w:r>
      <w:r w:rsidR="00E67EB3">
        <w:rPr>
          <w:sz w:val="24"/>
        </w:rPr>
        <w:t xml:space="preserve">   </w:t>
      </w:r>
      <w:r w:rsidRPr="009B3960">
        <w:rPr>
          <w:sz w:val="24"/>
        </w:rPr>
        <w:t xml:space="preserve"> </w:t>
      </w:r>
      <w:r w:rsidRPr="009B3960">
        <w:rPr>
          <w:b/>
          <w:sz w:val="24"/>
        </w:rPr>
        <w:t>Gegenvorstellung</w:t>
      </w:r>
      <w:r w:rsidRPr="009B3960">
        <w:rPr>
          <w:sz w:val="24"/>
        </w:rPr>
        <w:t>:</w:t>
      </w:r>
    </w:p>
    <w:p w:rsidR="00AF0D36" w:rsidRPr="009B3960" w:rsidRDefault="00AF0D36" w:rsidP="00D46E73">
      <w:pPr>
        <w:rPr>
          <w:b/>
          <w:sz w:val="24"/>
        </w:rPr>
      </w:pPr>
      <w:r w:rsidRPr="009B3960">
        <w:rPr>
          <w:b/>
          <w:sz w:val="24"/>
        </w:rPr>
        <w:t xml:space="preserve">                                                                      </w:t>
      </w:r>
      <w:r w:rsidR="009B3960">
        <w:rPr>
          <w:b/>
          <w:sz w:val="24"/>
        </w:rPr>
        <w:t xml:space="preserve">       </w:t>
      </w:r>
      <w:r w:rsidRPr="009B3960">
        <w:rPr>
          <w:b/>
          <w:sz w:val="24"/>
        </w:rPr>
        <w:t xml:space="preserve"> </w:t>
      </w:r>
      <w:r w:rsidR="00641468">
        <w:rPr>
          <w:b/>
          <w:sz w:val="24"/>
        </w:rPr>
        <w:t xml:space="preserve">    </w:t>
      </w:r>
      <w:r w:rsidRPr="009B3960">
        <w:rPr>
          <w:b/>
          <w:sz w:val="24"/>
        </w:rPr>
        <w:t xml:space="preserve"> I.</w:t>
      </w:r>
    </w:p>
    <w:p w:rsidR="00A96EAF" w:rsidRPr="009B3960" w:rsidRDefault="00152809" w:rsidP="00A96EAF">
      <w:pPr>
        <w:rPr>
          <w:color w:val="1F497D"/>
          <w:sz w:val="24"/>
        </w:rPr>
      </w:pPr>
      <w:r w:rsidRPr="009B3960">
        <w:t xml:space="preserve">             </w:t>
      </w:r>
      <w:r w:rsidR="00A96EAF" w:rsidRPr="009B3960">
        <w:rPr>
          <w:color w:val="1F497D"/>
          <w:sz w:val="24"/>
        </w:rPr>
        <w:t xml:space="preserve">Es geht um die staatsanwaltliche Pflicht zur Aufnahme strafrechtlicher Ermittlungen im Sinne des Anfangsverdachts. Dabei muss es nach kriminalistischen Erfahrungen aufgrund konkreter Tatsachen als möglich erscheinen, dass eine verfolgbare Straftat vorliegt. </w:t>
      </w:r>
    </w:p>
    <w:p w:rsidR="00A96EAF" w:rsidRPr="009B3960" w:rsidRDefault="00A96EAF" w:rsidP="00A96EAF">
      <w:pPr>
        <w:rPr>
          <w:color w:val="1F497D"/>
          <w:sz w:val="24"/>
        </w:rPr>
      </w:pPr>
      <w:r w:rsidRPr="009B3960">
        <w:rPr>
          <w:color w:val="1F497D"/>
          <w:sz w:val="24"/>
        </w:rPr>
        <w:lastRenderedPageBreak/>
        <w:t>Werden Ermittlungen aber allein mit dem Argument abgelehnt, die Beschuldigten hätten die Schadensfolgen nicht „gebilligt“, so erstaunt und befremdet dies doppelt: Worauf gründet die Rechtsaufsichtsbehörde ihr Urteil, ohne dieser Fragestellung trotz der Schwere des Tatvorwurfs der Untreue durch aufklärende Ermittlungen nachzugehen? Und warum verweigert sie trotz der Fülle diesseits mitgeteilter Fakten und vorgetragener Beweisangebote, den Sachverhalt zusammenhängend aufzuarbeiten?</w:t>
      </w:r>
    </w:p>
    <w:p w:rsidR="00A96EAF" w:rsidRPr="009B3960" w:rsidRDefault="00A96EAF" w:rsidP="00A96EAF">
      <w:pPr>
        <w:rPr>
          <w:b/>
          <w:bCs/>
          <w:color w:val="1F497D"/>
          <w:sz w:val="24"/>
        </w:rPr>
      </w:pPr>
      <w:r w:rsidRPr="009B3960">
        <w:rPr>
          <w:b/>
          <w:bCs/>
          <w:color w:val="1F497D"/>
          <w:sz w:val="24"/>
        </w:rPr>
        <w:t xml:space="preserve">                                             </w:t>
      </w:r>
      <w:r w:rsidR="00AF0D36" w:rsidRPr="009B3960">
        <w:rPr>
          <w:b/>
          <w:bCs/>
          <w:color w:val="1F497D"/>
          <w:sz w:val="24"/>
        </w:rPr>
        <w:t xml:space="preserve">                      </w:t>
      </w:r>
      <w:r w:rsidRPr="009B3960">
        <w:rPr>
          <w:b/>
          <w:bCs/>
          <w:color w:val="1F497D"/>
          <w:sz w:val="24"/>
        </w:rPr>
        <w:t xml:space="preserve"> </w:t>
      </w:r>
      <w:r w:rsidR="00E67EB3">
        <w:rPr>
          <w:b/>
          <w:bCs/>
          <w:color w:val="1F497D"/>
          <w:sz w:val="24"/>
        </w:rPr>
        <w:t xml:space="preserve">    </w:t>
      </w:r>
      <w:r w:rsidR="00210144">
        <w:rPr>
          <w:b/>
          <w:bCs/>
          <w:color w:val="1F497D"/>
          <w:sz w:val="24"/>
        </w:rPr>
        <w:t xml:space="preserve">       </w:t>
      </w:r>
      <w:r w:rsidRPr="009B3960">
        <w:rPr>
          <w:b/>
          <w:bCs/>
          <w:color w:val="1F497D"/>
          <w:sz w:val="24"/>
        </w:rPr>
        <w:t xml:space="preserve">  II.</w:t>
      </w:r>
    </w:p>
    <w:p w:rsidR="00A96EAF" w:rsidRPr="009B3960" w:rsidRDefault="00A96EAF" w:rsidP="00A96EAF">
      <w:pPr>
        <w:rPr>
          <w:color w:val="1F497D"/>
          <w:sz w:val="24"/>
        </w:rPr>
      </w:pPr>
      <w:r w:rsidRPr="009B3960">
        <w:rPr>
          <w:color w:val="1F497D"/>
          <w:sz w:val="24"/>
        </w:rPr>
        <w:t>Eine Untätigkeit der Rechtsaufsichtsbehörde in diesem Fall widerspricht deren Leitungsaufgabe. Nach  dem Gesetz haben Staatsanwälte „den dienstlichen Anwe</w:t>
      </w:r>
      <w:r w:rsidR="007D23A4">
        <w:rPr>
          <w:color w:val="1F497D"/>
          <w:sz w:val="24"/>
        </w:rPr>
        <w:t>isungen ihres Vorgesetzten nach</w:t>
      </w:r>
      <w:r w:rsidRPr="009B3960">
        <w:rPr>
          <w:color w:val="1F497D"/>
          <w:sz w:val="24"/>
        </w:rPr>
        <w:t xml:space="preserve">zukommen“. Und das „Recht der Aufsicht und Leitung“ steht der Landesjustizverwaltung hinsichtlich ihrer Landesbeamten zu (§§ 146, 147 GVG). Es versteht sich, dass diese Lenkungsaufgabe nur im Rahmen der staatlichen Bindung an Gesetz und Recht zum Zuge kommen darf (Art. 20 Abs. 3 GG).  Allein mithilfe des Ihnen zustehenden Weisungsrechts können Sie die notwendige Einheitlichkeit staatsanwaltlicher Aufgabenerfüllung, insbesondere eine einheitliche Einstellungs- und Anklagepraxis gewährleisten und dafür Sorge tragen, dass die staatsanwaltliche Entscheidung von nicht justizgemäßen, sachfremden Erwägungen freigehalten wird ( Löwe-Rosenberg, Kommentar zur StPO, 26. Aufl. 2010, </w:t>
      </w:r>
      <w:proofErr w:type="spellStart"/>
      <w:r w:rsidRPr="009B3960">
        <w:rPr>
          <w:color w:val="1F497D"/>
          <w:sz w:val="24"/>
        </w:rPr>
        <w:t>Rn</w:t>
      </w:r>
      <w:proofErr w:type="spellEnd"/>
      <w:r w:rsidRPr="009B3960">
        <w:rPr>
          <w:color w:val="1F497D"/>
          <w:sz w:val="24"/>
        </w:rPr>
        <w:t xml:space="preserve"> 14-20 mit Nachweisen zu § 146 GVG). Zugleich ist gerade vorliegend die politische Verantwortung gefragt: Es könnte für das Ansehen und die Glaubwürdigkeit unseres Rechtsstaats und für Ihre Wächterfunktion als  Justizsenator ein Meilenstein sein, wenn Sie – anders als noch Ihr Amtsvorgänger - darauf einwirken, dass der Gleichheitssatz bei S 21 beachtet wird.</w:t>
      </w:r>
    </w:p>
    <w:p w:rsidR="00A96EAF" w:rsidRPr="009B3960" w:rsidRDefault="00A96EAF" w:rsidP="00A96EAF">
      <w:pPr>
        <w:rPr>
          <w:color w:val="1F497D"/>
          <w:sz w:val="24"/>
        </w:rPr>
      </w:pPr>
      <w:r w:rsidRPr="009B3960">
        <w:rPr>
          <w:color w:val="1F497D"/>
          <w:sz w:val="24"/>
        </w:rPr>
        <w:t xml:space="preserve">Kommt es aber trotz konkreter Tatsachen, die nach kriminalistischer Erfahrung den Anfangsverdacht einer möglichen Straftat der Untreue begründen, zu keinen strafrechtlichen Ermittlungen und sind die davon Begünstigten, wie beim Großprojekt Stuttgart 21, hochrangige Personen des öffentlichen Lebens, so erzeugt dies eine doppelte Irritation. Erst jüngst sprach Dr. Thilo </w:t>
      </w:r>
      <w:proofErr w:type="spellStart"/>
      <w:r w:rsidRPr="009B3960">
        <w:rPr>
          <w:color w:val="1F497D"/>
          <w:sz w:val="24"/>
        </w:rPr>
        <w:t>Sarrazin</w:t>
      </w:r>
      <w:proofErr w:type="spellEnd"/>
      <w:r w:rsidRPr="009B3960">
        <w:rPr>
          <w:color w:val="1F497D"/>
          <w:sz w:val="24"/>
        </w:rPr>
        <w:t xml:space="preserve"> bei seiner Anhörung als früherer Bahn-Vorstand und als Gutachter vor dem Verkehrsausschuss des Bundestages:  Stuttgart 21 sei ein aus „völlig irrationalen Gründen“ gefördertes „politisches Lieblingsprojekt“. Das wird indirekt durch Bahnchef Dr. Richard Lutz und durch eine Kette weiterer Aussagen und Dokumente von Insidern der kritischen Vorgänge ähnlich klar beschrieben. Erhärtet sich die hieraus folgende Vermutung, dass von Anfang an sachfremde politische Faktoren bei S 21 eine maßgebende Rolle spielten, dann muss der funktionierende Rechtsstaat dagegen durch die dafür berufenen Organe vorgehen. Würde die Strafverfolgungsbehörde dennoch keine Ermittlungen einleiten, hieße es „Die Kleinen hängt man, die Großen lässt man laufen“. </w:t>
      </w:r>
    </w:p>
    <w:p w:rsidR="00E67EB3" w:rsidRPr="009B3960" w:rsidRDefault="00A96EAF" w:rsidP="00A96EAF">
      <w:pPr>
        <w:rPr>
          <w:color w:val="1F497D"/>
          <w:sz w:val="24"/>
        </w:rPr>
      </w:pPr>
      <w:r w:rsidRPr="009B3960">
        <w:rPr>
          <w:color w:val="1F497D"/>
          <w:sz w:val="24"/>
        </w:rPr>
        <w:t>Das wäre wirklich schlimm. Daher muss das korrigierende Einschreiten der Rechtsaufsicht zu strafrechtlichen Ermittlungen führen. Das Gesetz verpflichtet dazu. Und es  ermöglicht sogar dem oder der Vorgesetzten, die Ermittlungstätigkeit selbst zu übernehmen oder „einen anderen als den zunächst zuständigen Beamten zu beauftragen“ (§ 145 GVG).</w:t>
      </w:r>
    </w:p>
    <w:p w:rsidR="00A96EAF" w:rsidRPr="009B3960" w:rsidRDefault="00A96EAF" w:rsidP="00A96EAF">
      <w:pPr>
        <w:rPr>
          <w:b/>
          <w:bCs/>
          <w:color w:val="1F497D"/>
          <w:sz w:val="24"/>
        </w:rPr>
      </w:pPr>
      <w:r w:rsidRPr="009B3960">
        <w:rPr>
          <w:b/>
          <w:bCs/>
          <w:color w:val="1F497D"/>
          <w:sz w:val="24"/>
        </w:rPr>
        <w:lastRenderedPageBreak/>
        <w:t xml:space="preserve">                                                 </w:t>
      </w:r>
      <w:r w:rsidR="00AF0D36" w:rsidRPr="009B3960">
        <w:rPr>
          <w:b/>
          <w:bCs/>
          <w:color w:val="1F497D"/>
          <w:sz w:val="24"/>
        </w:rPr>
        <w:t xml:space="preserve">                    </w:t>
      </w:r>
      <w:r w:rsidR="00210144">
        <w:rPr>
          <w:b/>
          <w:bCs/>
          <w:color w:val="1F497D"/>
          <w:sz w:val="24"/>
        </w:rPr>
        <w:t xml:space="preserve">      </w:t>
      </w:r>
      <w:r w:rsidRPr="009B3960">
        <w:rPr>
          <w:b/>
          <w:bCs/>
          <w:color w:val="1F497D"/>
          <w:sz w:val="24"/>
        </w:rPr>
        <w:t xml:space="preserve"> </w:t>
      </w:r>
      <w:r w:rsidR="00E5512E">
        <w:rPr>
          <w:b/>
          <w:bCs/>
          <w:color w:val="1F497D"/>
          <w:sz w:val="24"/>
        </w:rPr>
        <w:t xml:space="preserve">    </w:t>
      </w:r>
      <w:r w:rsidRPr="009B3960">
        <w:rPr>
          <w:b/>
          <w:bCs/>
          <w:color w:val="1F497D"/>
          <w:sz w:val="24"/>
        </w:rPr>
        <w:t xml:space="preserve"> III.  </w:t>
      </w:r>
    </w:p>
    <w:p w:rsidR="00A96EAF" w:rsidRPr="009B3960" w:rsidRDefault="00A96EAF" w:rsidP="00A96EAF">
      <w:pPr>
        <w:rPr>
          <w:color w:val="1F497D"/>
          <w:sz w:val="24"/>
        </w:rPr>
      </w:pPr>
      <w:r w:rsidRPr="009B3960">
        <w:rPr>
          <w:color w:val="1F497D"/>
          <w:sz w:val="24"/>
        </w:rPr>
        <w:t>Näher einzugehen ist auf die Entscheidung der Generalstaatsanwaltschaft, die Aufnahme von Ermittlungen wegen Tatverdachts der Untreue gegen die Entscheider der Deutschen Bahn AG zu verweigern, weil sich eine vorsätzliche Untreue auf die endgültige Realisierung des Schadens erstrecken müsse, wofür aber zureichende tatsächliche Anhaltspunkte fehlen würden. Diese Rechtsauffassung ist nicht nur strittig und vom Bundesverfassungsgericht nicht geteilt, sondern sie rechtfertigt gerade nicht, Ermittlungen deshalb zu unterlassen:</w:t>
      </w:r>
    </w:p>
    <w:p w:rsidR="00A96EAF" w:rsidRPr="009B3960" w:rsidRDefault="00A96EAF" w:rsidP="00A96EAF">
      <w:pPr>
        <w:pStyle w:val="Funotentext"/>
        <w:numPr>
          <w:ilvl w:val="0"/>
          <w:numId w:val="6"/>
        </w:numPr>
        <w:ind w:left="720" w:hanging="18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Der BGH, 1. Strafsenat, widerspricht explizit  diesem Ansatz, der zu einer überschießenden Innentendenz entgegen dem Wortlaut und der Systematik des Gesetzes führt, klar (BGH Urt. vom 21.2.2017 – 1 </w:t>
      </w:r>
      <w:proofErr w:type="spellStart"/>
      <w:r w:rsidRPr="009B3960">
        <w:rPr>
          <w:rFonts w:ascii="Calibri" w:hAnsi="Calibri" w:cs="Calibri"/>
          <w:color w:val="1F497D"/>
          <w:sz w:val="24"/>
          <w:szCs w:val="22"/>
          <w:lang w:eastAsia="en-US"/>
        </w:rPr>
        <w:t>StR</w:t>
      </w:r>
      <w:proofErr w:type="spellEnd"/>
      <w:r w:rsidRPr="009B3960">
        <w:rPr>
          <w:rFonts w:ascii="Calibri" w:hAnsi="Calibri" w:cs="Calibri"/>
          <w:color w:val="1F497D"/>
          <w:sz w:val="24"/>
          <w:szCs w:val="22"/>
          <w:lang w:eastAsia="en-US"/>
        </w:rPr>
        <w:t xml:space="preserve"> 296/16, </w:t>
      </w:r>
      <w:proofErr w:type="spellStart"/>
      <w:r w:rsidRPr="009B3960">
        <w:rPr>
          <w:rFonts w:ascii="Calibri" w:hAnsi="Calibri" w:cs="Calibri"/>
          <w:color w:val="1F497D"/>
          <w:sz w:val="24"/>
          <w:szCs w:val="22"/>
          <w:lang w:eastAsia="en-US"/>
        </w:rPr>
        <w:t>BGHSt</w:t>
      </w:r>
      <w:proofErr w:type="spellEnd"/>
      <w:r w:rsidRPr="009B3960">
        <w:rPr>
          <w:rFonts w:ascii="Calibri" w:hAnsi="Calibri" w:cs="Calibri"/>
          <w:color w:val="1F497D"/>
          <w:sz w:val="24"/>
          <w:szCs w:val="22"/>
          <w:lang w:eastAsia="en-US"/>
        </w:rPr>
        <w:t xml:space="preserve"> 62, 144 (154 f.) mit den Feststellungen: „Allein auf den unmittelbar mit der Vermögensverfügung des Getäuschten eingetretenen tatbestandlichen Schaden muss sich das voluntative Element des Vorsatzes des Täters erstrecken. Auf die Billigung eines eventuellen Endschadens kommt es nicht an.“  </w:t>
      </w:r>
    </w:p>
    <w:p w:rsidR="00A96EAF" w:rsidRPr="009B3960" w:rsidRDefault="00A96EAF" w:rsidP="00A96EAF">
      <w:pPr>
        <w:pStyle w:val="Funotentext"/>
        <w:ind w:left="72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Diese Rechtsauffassung  ist unseres Erachtens schon deshalb richtig, weil nur so erklärt werden kann, dass der Gefährdungsschaden ein Vermögensnachteil i. S. d.      § 266 StGB ist. Die gegenteilige These, auf die sich die Generalstaatsanwaltschaft im Beschwerdeentscheid beruft und die aus der Kanther/Weyrauch-Entscheidung (BGH Urt. v. 18.10.2006 – 2 </w:t>
      </w:r>
      <w:proofErr w:type="spellStart"/>
      <w:r w:rsidRPr="009B3960">
        <w:rPr>
          <w:rFonts w:ascii="Calibri" w:hAnsi="Calibri" w:cs="Calibri"/>
          <w:color w:val="1F497D"/>
          <w:sz w:val="24"/>
          <w:szCs w:val="22"/>
          <w:lang w:eastAsia="en-US"/>
        </w:rPr>
        <w:t>StR</w:t>
      </w:r>
      <w:proofErr w:type="spellEnd"/>
      <w:r w:rsidRPr="009B3960">
        <w:rPr>
          <w:rFonts w:ascii="Calibri" w:hAnsi="Calibri" w:cs="Calibri"/>
          <w:color w:val="1F497D"/>
          <w:sz w:val="24"/>
          <w:szCs w:val="22"/>
          <w:lang w:eastAsia="en-US"/>
        </w:rPr>
        <w:t xml:space="preserve"> 499/05, </w:t>
      </w:r>
      <w:proofErr w:type="spellStart"/>
      <w:r w:rsidRPr="009B3960">
        <w:rPr>
          <w:rFonts w:ascii="Calibri" w:hAnsi="Calibri" w:cs="Calibri"/>
          <w:color w:val="1F497D"/>
          <w:sz w:val="24"/>
          <w:szCs w:val="22"/>
          <w:lang w:eastAsia="en-US"/>
        </w:rPr>
        <w:t>BGHSt</w:t>
      </w:r>
      <w:proofErr w:type="spellEnd"/>
      <w:r w:rsidRPr="009B3960">
        <w:rPr>
          <w:rFonts w:ascii="Calibri" w:hAnsi="Calibri" w:cs="Calibri"/>
          <w:color w:val="1F497D"/>
          <w:sz w:val="24"/>
          <w:szCs w:val="22"/>
          <w:lang w:eastAsia="en-US"/>
        </w:rPr>
        <w:t xml:space="preserve"> 51, 100 (121 ff.) stammt, führt daher zu massiven strafrechtsdogmatischen und letztlich wohl auch verfassungsrechtlichen Friktionen. </w:t>
      </w:r>
    </w:p>
    <w:p w:rsidR="00A96EAF" w:rsidRPr="009B3960" w:rsidRDefault="00A96EAF" w:rsidP="00A96EAF">
      <w:pPr>
        <w:pStyle w:val="Funotentext"/>
        <w:rPr>
          <w:rFonts w:ascii="Calibri" w:hAnsi="Calibri" w:cs="Calibri"/>
          <w:color w:val="1F497D"/>
          <w:sz w:val="24"/>
          <w:szCs w:val="22"/>
          <w:lang w:eastAsia="en-US"/>
        </w:rPr>
      </w:pPr>
    </w:p>
    <w:p w:rsidR="00A96EAF" w:rsidRPr="009B3960" w:rsidRDefault="00A96EAF" w:rsidP="00A96EAF">
      <w:pPr>
        <w:pStyle w:val="Funotentext"/>
        <w:numPr>
          <w:ilvl w:val="0"/>
          <w:numId w:val="6"/>
        </w:numPr>
        <w:ind w:left="720" w:hanging="180"/>
        <w:rPr>
          <w:rFonts w:ascii="Calibri" w:hAnsi="Calibri" w:cs="Calibri"/>
          <w:color w:val="1F497D"/>
          <w:sz w:val="24"/>
          <w:szCs w:val="22"/>
          <w:lang w:eastAsia="en-US"/>
        </w:rPr>
      </w:pPr>
      <w:r w:rsidRPr="009B3960">
        <w:rPr>
          <w:rFonts w:ascii="Calibri" w:hAnsi="Calibri" w:cs="Calibri"/>
          <w:color w:val="1F497D"/>
          <w:sz w:val="24"/>
          <w:szCs w:val="22"/>
          <w:lang w:eastAsia="en-US"/>
        </w:rPr>
        <w:t>Als weiterer Punkt ist an</w:t>
      </w:r>
      <w:r w:rsidR="007D23A4">
        <w:rPr>
          <w:rFonts w:ascii="Calibri" w:hAnsi="Calibri" w:cs="Calibri"/>
          <w:color w:val="1F497D"/>
          <w:sz w:val="24"/>
          <w:szCs w:val="22"/>
          <w:lang w:eastAsia="en-US"/>
        </w:rPr>
        <w:t>zu</w:t>
      </w:r>
      <w:r w:rsidRPr="009B3960">
        <w:rPr>
          <w:rFonts w:ascii="Calibri" w:hAnsi="Calibri" w:cs="Calibri"/>
          <w:color w:val="1F497D"/>
          <w:sz w:val="24"/>
          <w:szCs w:val="22"/>
          <w:lang w:eastAsia="en-US"/>
        </w:rPr>
        <w:t xml:space="preserve">führen, dass die Generalstaatsanwaltschaft mit ihrer Auffassung ein wesentliches Problem nicht gesehen hat: Die grundlegende Entscheidung des Bundesverfassungsgerichts zum Schadensbegriff in der Untreue  (vgl.  BVerfG Beschl. v. 23.6.2010 – 2 </w:t>
      </w:r>
      <w:proofErr w:type="spellStart"/>
      <w:r w:rsidRPr="009B3960">
        <w:rPr>
          <w:rFonts w:ascii="Calibri" w:hAnsi="Calibri" w:cs="Calibri"/>
          <w:color w:val="1F497D"/>
          <w:sz w:val="24"/>
          <w:szCs w:val="22"/>
          <w:lang w:eastAsia="en-US"/>
        </w:rPr>
        <w:t>BvR</w:t>
      </w:r>
      <w:proofErr w:type="spellEnd"/>
      <w:r w:rsidRPr="009B3960">
        <w:rPr>
          <w:rFonts w:ascii="Calibri" w:hAnsi="Calibri" w:cs="Calibri"/>
          <w:color w:val="1F497D"/>
          <w:sz w:val="24"/>
          <w:szCs w:val="22"/>
          <w:lang w:eastAsia="en-US"/>
        </w:rPr>
        <w:t xml:space="preserve"> 2559/08, 105, 491/09, BVerfGE 126, 170 ff) hat den Straftatbestand der Untreue zwar auch eingeengt, aber nur dahingehend, dass  der Vermögensschaden beziffert werden muss. Weil hiernach Untreue nicht mehr durch erhöhte Anforderungen im subjektiven Bereich des Beschuldigten einzuschränken ist, sind davon abweichende Meinungen der Gerichte genau genommen hinfällig.</w:t>
      </w:r>
    </w:p>
    <w:p w:rsidR="00A96EAF" w:rsidRPr="009B3960" w:rsidRDefault="00A96EAF" w:rsidP="00A96EAF">
      <w:pPr>
        <w:pStyle w:val="Funotentext"/>
        <w:ind w:left="720"/>
        <w:rPr>
          <w:rFonts w:ascii="Calibri" w:hAnsi="Calibri" w:cs="Calibri"/>
          <w:color w:val="1F497D"/>
          <w:sz w:val="24"/>
          <w:szCs w:val="22"/>
          <w:lang w:eastAsia="en-US"/>
        </w:rPr>
      </w:pPr>
    </w:p>
    <w:p w:rsidR="00A96EAF" w:rsidRPr="009B3960" w:rsidRDefault="00A96EAF" w:rsidP="00A96EAF">
      <w:pPr>
        <w:pStyle w:val="Funotentext"/>
        <w:numPr>
          <w:ilvl w:val="0"/>
          <w:numId w:val="6"/>
        </w:numPr>
        <w:ind w:left="720" w:hanging="18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Unabhängig davon ist nicht nachvollziehbar, warum die Beteiligten nicht erkannt und billigend in Kauf genommen haben sollen, dass ein endgültiger Schaden eintreten wird. Es geht damit nicht um das Endresultat des Schadens durch Stuttgart 21, sondern um jede bereits </w:t>
      </w:r>
      <w:r w:rsidRPr="009B3960">
        <w:rPr>
          <w:rFonts w:ascii="Calibri" w:hAnsi="Calibri" w:cs="Calibri"/>
          <w:color w:val="1F497D"/>
          <w:sz w:val="24"/>
          <w:szCs w:val="22"/>
          <w:u w:val="single"/>
          <w:lang w:eastAsia="en-US"/>
        </w:rPr>
        <w:t>quantifizierbare Vermögensminderung</w:t>
      </w:r>
      <w:r w:rsidRPr="009B3960">
        <w:rPr>
          <w:rFonts w:ascii="Calibri" w:hAnsi="Calibri" w:cs="Calibri"/>
          <w:color w:val="1F497D"/>
          <w:sz w:val="24"/>
          <w:szCs w:val="22"/>
          <w:lang w:eastAsia="en-US"/>
        </w:rPr>
        <w:t>, die nicht durch gleichzeitig eintretende wirtschaftliche Vorteile für das betreute Vermögen kompensiert wird. Kommt es in diesem Sinne darauf an, dass die Entscheider die Unwirtschaftlichkeit des Projekts erkannt und sich damit abgefunden haben, kann das nicht heißen, dass hierzu nicht ermittelt werden müsste.</w:t>
      </w:r>
    </w:p>
    <w:p w:rsidR="00A96EAF" w:rsidRPr="009B3960" w:rsidRDefault="00A96EAF" w:rsidP="00A96EAF">
      <w:pPr>
        <w:pStyle w:val="Funotentext"/>
        <w:ind w:left="720"/>
        <w:rPr>
          <w:rFonts w:ascii="Calibri" w:hAnsi="Calibri" w:cs="Calibri"/>
          <w:color w:val="1F497D"/>
          <w:sz w:val="24"/>
          <w:szCs w:val="22"/>
          <w:u w:val="single"/>
          <w:lang w:eastAsia="en-US"/>
        </w:rPr>
      </w:pPr>
      <w:r w:rsidRPr="009B3960">
        <w:rPr>
          <w:rFonts w:ascii="Calibri" w:hAnsi="Calibri" w:cs="Calibri"/>
          <w:color w:val="1F497D"/>
          <w:sz w:val="24"/>
          <w:szCs w:val="22"/>
          <w:u w:val="single"/>
          <w:lang w:eastAsia="en-US"/>
        </w:rPr>
        <w:t>Es wäre genau diese Frage nach dem voluntativen Vorsatzelement zu beantworten gewesen: Haben die beteiligten Entscheidungsträger ernsthaft darauf vertraut, dass bei diesem Projekt kein endgültiger wirtschaftlicher Schaden entstehen werde?</w:t>
      </w:r>
    </w:p>
    <w:p w:rsidR="00A96EAF" w:rsidRPr="009B3960" w:rsidRDefault="00A96EAF" w:rsidP="00A96EAF">
      <w:pPr>
        <w:pStyle w:val="Funotentext"/>
        <w:ind w:left="720"/>
        <w:rPr>
          <w:rFonts w:ascii="Calibri" w:hAnsi="Calibri" w:cs="Calibri"/>
          <w:color w:val="1F497D"/>
          <w:sz w:val="24"/>
          <w:szCs w:val="22"/>
          <w:lang w:eastAsia="en-US"/>
        </w:rPr>
      </w:pPr>
      <w:r w:rsidRPr="009B3960">
        <w:rPr>
          <w:rFonts w:ascii="Calibri" w:hAnsi="Calibri" w:cs="Calibri"/>
          <w:color w:val="1F497D"/>
          <w:sz w:val="24"/>
          <w:szCs w:val="22"/>
          <w:u w:val="single"/>
          <w:lang w:eastAsia="en-US"/>
        </w:rPr>
        <w:t xml:space="preserve"> Wir fragen also:  Aus welchen konkreten Tatsachen hat die  Generalstaats</w:t>
      </w:r>
      <w:r w:rsidR="00AF0D36" w:rsidRPr="009B3960">
        <w:rPr>
          <w:rFonts w:ascii="Calibri" w:hAnsi="Calibri" w:cs="Calibri"/>
          <w:color w:val="1F497D"/>
          <w:sz w:val="24"/>
          <w:szCs w:val="22"/>
          <w:u w:val="single"/>
          <w:lang w:eastAsia="en-US"/>
        </w:rPr>
        <w:t>anwalt</w:t>
      </w:r>
      <w:r w:rsidR="009B3960">
        <w:rPr>
          <w:rFonts w:ascii="Calibri" w:hAnsi="Calibri" w:cs="Calibri"/>
          <w:color w:val="1F497D"/>
          <w:sz w:val="24"/>
          <w:szCs w:val="22"/>
          <w:u w:val="single"/>
          <w:lang w:eastAsia="en-US"/>
        </w:rPr>
        <w:t>-</w:t>
      </w:r>
      <w:proofErr w:type="spellStart"/>
      <w:r w:rsidRPr="009B3960">
        <w:rPr>
          <w:rFonts w:ascii="Calibri" w:hAnsi="Calibri" w:cs="Calibri"/>
          <w:color w:val="1F497D"/>
          <w:sz w:val="24"/>
          <w:szCs w:val="22"/>
          <w:u w:val="single"/>
          <w:lang w:eastAsia="en-US"/>
        </w:rPr>
        <w:t>schaft</w:t>
      </w:r>
      <w:proofErr w:type="spellEnd"/>
      <w:r w:rsidRPr="009B3960">
        <w:rPr>
          <w:rFonts w:ascii="Calibri" w:hAnsi="Calibri" w:cs="Calibri"/>
          <w:color w:val="1F497D"/>
          <w:sz w:val="24"/>
          <w:szCs w:val="22"/>
          <w:u w:val="single"/>
          <w:lang w:eastAsia="en-US"/>
        </w:rPr>
        <w:t xml:space="preserve"> ihre Annahme abgeleitet, die Beschuldigten hätten die Realisierung der Schädigung nicht gebilligt? Aus diesseitiger Sicht spr</w:t>
      </w:r>
      <w:r w:rsidR="00AF0D36" w:rsidRPr="009B3960">
        <w:rPr>
          <w:rFonts w:ascii="Calibri" w:hAnsi="Calibri" w:cs="Calibri"/>
          <w:color w:val="1F497D"/>
          <w:sz w:val="24"/>
          <w:szCs w:val="22"/>
          <w:u w:val="single"/>
          <w:lang w:eastAsia="en-US"/>
        </w:rPr>
        <w:t xml:space="preserve">echen jedenfalls alle </w:t>
      </w:r>
      <w:r w:rsidR="00AF0D36" w:rsidRPr="009B3960">
        <w:rPr>
          <w:rFonts w:ascii="Calibri" w:hAnsi="Calibri" w:cs="Calibri"/>
          <w:color w:val="1F497D"/>
          <w:sz w:val="24"/>
          <w:szCs w:val="22"/>
          <w:u w:val="single"/>
          <w:lang w:eastAsia="en-US"/>
        </w:rPr>
        <w:lastRenderedPageBreak/>
        <w:t>vorliegen</w:t>
      </w:r>
      <w:r w:rsidRPr="009B3960">
        <w:rPr>
          <w:rFonts w:ascii="Calibri" w:hAnsi="Calibri" w:cs="Calibri"/>
          <w:color w:val="1F497D"/>
          <w:sz w:val="24"/>
          <w:szCs w:val="22"/>
          <w:u w:val="single"/>
          <w:lang w:eastAsia="en-US"/>
        </w:rPr>
        <w:t>den und vorgelegten Tatsachen dafür, dass die Entscheidu</w:t>
      </w:r>
      <w:r w:rsidR="00AF0D36" w:rsidRPr="009B3960">
        <w:rPr>
          <w:rFonts w:ascii="Calibri" w:hAnsi="Calibri" w:cs="Calibri"/>
          <w:color w:val="1F497D"/>
          <w:sz w:val="24"/>
          <w:szCs w:val="22"/>
          <w:u w:val="single"/>
          <w:lang w:eastAsia="en-US"/>
        </w:rPr>
        <w:t>ngsträger den Schadens</w:t>
      </w:r>
      <w:r w:rsidRPr="009B3960">
        <w:rPr>
          <w:rFonts w:ascii="Calibri" w:hAnsi="Calibri" w:cs="Calibri"/>
          <w:color w:val="1F497D"/>
          <w:sz w:val="24"/>
          <w:szCs w:val="22"/>
          <w:u w:val="single"/>
          <w:lang w:eastAsia="en-US"/>
        </w:rPr>
        <w:t>eintritt billigend in Kauf genommen haben</w:t>
      </w:r>
      <w:r w:rsidRPr="009B3960">
        <w:rPr>
          <w:rFonts w:ascii="Calibri" w:hAnsi="Calibri" w:cs="Calibri"/>
          <w:color w:val="1F497D"/>
          <w:sz w:val="24"/>
          <w:szCs w:val="22"/>
          <w:lang w:eastAsia="en-US"/>
        </w:rPr>
        <w:t>:</w:t>
      </w:r>
    </w:p>
    <w:p w:rsidR="00A96EAF" w:rsidRPr="009B3960" w:rsidRDefault="00A96EAF" w:rsidP="00A96EAF">
      <w:pPr>
        <w:pStyle w:val="StandardWeb"/>
        <w:numPr>
          <w:ilvl w:val="0"/>
          <w:numId w:val="7"/>
        </w:numPr>
        <w:spacing w:beforeAutospacing="0" w:after="0" w:afterAutospacing="0"/>
        <w:rPr>
          <w:color w:val="1F497D"/>
          <w:szCs w:val="22"/>
          <w:lang w:eastAsia="en-US"/>
        </w:rPr>
      </w:pPr>
      <w:r w:rsidRPr="009B3960">
        <w:rPr>
          <w:color w:val="1F497D"/>
          <w:szCs w:val="22"/>
          <w:lang w:eastAsia="en-US"/>
        </w:rPr>
        <w:t xml:space="preserve">So hat der </w:t>
      </w:r>
      <w:r w:rsidRPr="009B3960">
        <w:rPr>
          <w:color w:val="1F497D"/>
          <w:szCs w:val="22"/>
          <w:u w:val="single"/>
          <w:lang w:eastAsia="en-US"/>
        </w:rPr>
        <w:t>Vorstandsvorsitzende der DB AG Dr. Richard Lutz</w:t>
      </w:r>
      <w:r w:rsidRPr="009B3960">
        <w:rPr>
          <w:color w:val="1F497D"/>
          <w:szCs w:val="22"/>
          <w:lang w:eastAsia="en-US"/>
        </w:rPr>
        <w:t xml:space="preserve"> am 23.03.2017, dem Tage nach seiner Wahl in dieses Amt, nachweisbar auf ausdrückliche Frage des Journalisten Henning Zierock erklärt, er sei </w:t>
      </w:r>
      <w:r w:rsidRPr="009B3960">
        <w:rPr>
          <w:color w:val="1F497D"/>
          <w:szCs w:val="22"/>
          <w:u w:val="single"/>
          <w:lang w:eastAsia="en-US"/>
        </w:rPr>
        <w:t>„finster entschlossen, Stuttgart 21 zu Ende zu bringen“</w:t>
      </w:r>
      <w:r w:rsidRPr="009B3960">
        <w:rPr>
          <w:color w:val="1F497D"/>
          <w:szCs w:val="22"/>
          <w:lang w:eastAsia="en-US"/>
        </w:rPr>
        <w:t xml:space="preserve">. </w:t>
      </w:r>
      <w:r w:rsidR="00306043">
        <w:rPr>
          <w:color w:val="1F497D"/>
          <w:szCs w:val="22"/>
          <w:lang w:eastAsia="en-US"/>
        </w:rPr>
        <w:t xml:space="preserve">Das geschah nur etwa 10 Monate vor der von ihm und Herrn </w:t>
      </w:r>
      <w:proofErr w:type="spellStart"/>
      <w:r w:rsidR="00306043">
        <w:rPr>
          <w:color w:val="1F497D"/>
          <w:szCs w:val="22"/>
          <w:lang w:eastAsia="en-US"/>
        </w:rPr>
        <w:t>Pofalla</w:t>
      </w:r>
      <w:proofErr w:type="spellEnd"/>
      <w:r w:rsidR="00306043">
        <w:rPr>
          <w:color w:val="1F497D"/>
          <w:szCs w:val="22"/>
          <w:lang w:eastAsia="en-US"/>
        </w:rPr>
        <w:t xml:space="preserve"> am 26.01.2018 initiierten Beschlussfassung des Aufsichtsrats, welche die Strafanzeige auslöste. </w:t>
      </w:r>
      <w:r w:rsidRPr="009B3960">
        <w:rPr>
          <w:color w:val="1F497D"/>
          <w:szCs w:val="22"/>
          <w:lang w:eastAsia="en-US"/>
        </w:rPr>
        <w:t xml:space="preserve">Die </w:t>
      </w:r>
      <w:r w:rsidR="00306043">
        <w:rPr>
          <w:color w:val="1F497D"/>
          <w:szCs w:val="22"/>
          <w:lang w:eastAsia="en-US"/>
        </w:rPr>
        <w:t>zitierte</w:t>
      </w:r>
      <w:r w:rsidRPr="009B3960">
        <w:rPr>
          <w:color w:val="1F497D"/>
          <w:szCs w:val="22"/>
          <w:lang w:eastAsia="en-US"/>
        </w:rPr>
        <w:t xml:space="preserve"> Aussage von Dr. Lutz heißt offensichtlich richtunggebend nichts Anderes, als dass dieses Projekt gemäß dem ihm vertrauten politi</w:t>
      </w:r>
      <w:r w:rsidR="00AF0D36" w:rsidRPr="009B3960">
        <w:rPr>
          <w:color w:val="1F497D"/>
          <w:szCs w:val="22"/>
          <w:lang w:eastAsia="en-US"/>
        </w:rPr>
        <w:t>schen Willen der Bundesregie</w:t>
      </w:r>
      <w:r w:rsidRPr="009B3960">
        <w:rPr>
          <w:color w:val="1F497D"/>
          <w:szCs w:val="22"/>
          <w:lang w:eastAsia="en-US"/>
        </w:rPr>
        <w:t>rung, die ihn über den Bahn-Aufsichtsrat ins höchste Amt brachte, durchgezogen werden wird, ungeachtet aller gesetzlichen Maßstäbe. Dieses Verständnis erschließt sich einem unbefangenen Betrachter aus Folgendem: Dr. Lu</w:t>
      </w:r>
      <w:r w:rsidR="00AF0D36" w:rsidRPr="009B3960">
        <w:rPr>
          <w:color w:val="1F497D"/>
          <w:szCs w:val="22"/>
          <w:lang w:eastAsia="en-US"/>
        </w:rPr>
        <w:t>tz leitet seit 2003  das Finanz</w:t>
      </w:r>
      <w:r w:rsidRPr="009B3960">
        <w:rPr>
          <w:color w:val="1F497D"/>
          <w:szCs w:val="22"/>
          <w:lang w:eastAsia="en-US"/>
        </w:rPr>
        <w:t>controlling des Bahnkonzerns und ist seit April 2010 Finanzvorstand der DB AG, der dessen Finanzen wie kein anderer kennt. Das gilt auch für den Konflikt um S 21. Der  diesseitige Sachvortrag mit</w:t>
      </w:r>
      <w:r w:rsidR="00306043">
        <w:rPr>
          <w:color w:val="1F497D"/>
          <w:szCs w:val="22"/>
          <w:lang w:eastAsia="en-US"/>
        </w:rPr>
        <w:t xml:space="preserve"> Nachweisen und Beweismitteln im </w:t>
      </w:r>
      <w:r w:rsidRPr="009B3960">
        <w:rPr>
          <w:color w:val="1F497D"/>
          <w:szCs w:val="22"/>
          <w:lang w:eastAsia="en-US"/>
        </w:rPr>
        <w:t xml:space="preserve">Schriftsatz vom 15.01.18 Seite 5 bis 10 </w:t>
      </w:r>
      <w:r w:rsidR="00306043">
        <w:rPr>
          <w:color w:val="1F497D"/>
          <w:szCs w:val="22"/>
          <w:lang w:eastAsia="en-US"/>
        </w:rPr>
        <w:t xml:space="preserve">(121 Zs 366/18) </w:t>
      </w:r>
      <w:r w:rsidRPr="009B3960">
        <w:rPr>
          <w:color w:val="1F497D"/>
          <w:szCs w:val="22"/>
          <w:lang w:eastAsia="en-US"/>
        </w:rPr>
        <w:t>gehört in diesen Zusammenhang, denn daraus erschließt sich der Sinn der „finsteren Entschlossen</w:t>
      </w:r>
      <w:r w:rsidR="00306043">
        <w:rPr>
          <w:color w:val="1F497D"/>
          <w:szCs w:val="22"/>
          <w:lang w:eastAsia="en-US"/>
        </w:rPr>
        <w:t>-</w:t>
      </w:r>
      <w:proofErr w:type="spellStart"/>
      <w:r w:rsidRPr="009B3960">
        <w:rPr>
          <w:color w:val="1F497D"/>
          <w:szCs w:val="22"/>
          <w:lang w:eastAsia="en-US"/>
        </w:rPr>
        <w:t>heit</w:t>
      </w:r>
      <w:proofErr w:type="spellEnd"/>
      <w:r w:rsidRPr="009B3960">
        <w:rPr>
          <w:color w:val="1F497D"/>
          <w:szCs w:val="22"/>
          <w:lang w:eastAsia="en-US"/>
        </w:rPr>
        <w:t>“. Der Beschwerdeentscheid</w:t>
      </w:r>
      <w:r w:rsidR="00AF0D36" w:rsidRPr="009B3960">
        <w:rPr>
          <w:color w:val="1F497D"/>
          <w:szCs w:val="22"/>
          <w:lang w:eastAsia="en-US"/>
        </w:rPr>
        <w:t xml:space="preserve"> versagt sich dieser aufschluss</w:t>
      </w:r>
      <w:r w:rsidRPr="009B3960">
        <w:rPr>
          <w:color w:val="1F497D"/>
          <w:szCs w:val="22"/>
          <w:lang w:eastAsia="en-US"/>
        </w:rPr>
        <w:t xml:space="preserve">reichen, in der Strafanzeige vom 5.05.2017 erläuterten Tatsache, weil er seine Sicht zur Frage des bedingten Schädigungsvorsatzes </w:t>
      </w:r>
      <w:r w:rsidRPr="009B3960">
        <w:rPr>
          <w:color w:val="1F497D"/>
          <w:szCs w:val="22"/>
          <w:u w:val="single"/>
          <w:lang w:eastAsia="en-US"/>
        </w:rPr>
        <w:t>fälschlich auf den Zeitraum</w:t>
      </w:r>
      <w:r w:rsidRPr="009B3960">
        <w:rPr>
          <w:color w:val="1F497D"/>
          <w:szCs w:val="22"/>
          <w:lang w:eastAsia="en-US"/>
        </w:rPr>
        <w:t xml:space="preserve"> </w:t>
      </w:r>
      <w:r w:rsidRPr="009B3960">
        <w:rPr>
          <w:color w:val="1F497D"/>
          <w:szCs w:val="22"/>
          <w:u w:val="single"/>
          <w:lang w:eastAsia="en-US"/>
        </w:rPr>
        <w:t>„in der zweiten Jahreshälfte 2016 und bis zum 22. März 2017“ begrenzt</w:t>
      </w:r>
      <w:r w:rsidRPr="009B3960">
        <w:rPr>
          <w:color w:val="1F497D"/>
          <w:szCs w:val="22"/>
          <w:lang w:eastAsia="en-US"/>
        </w:rPr>
        <w:t xml:space="preserve"> (Bescheid, S.2), als ob es die weiteren Tatvorwürfe insbesondere in den Schriftsätzen vom 30.03. und vom 5.05.2017 nicht geben würde. Dies</w:t>
      </w:r>
      <w:r w:rsidR="008B38C0">
        <w:rPr>
          <w:color w:val="1F497D"/>
          <w:szCs w:val="22"/>
          <w:lang w:eastAsia="en-US"/>
        </w:rPr>
        <w:t>e Begrenzung der Sicht ist unhaltbar, und zwar auch wegen der Fortführung des „finsteren“ Vorsatzes im Beschluss vom 26.01. 2018.</w:t>
      </w:r>
    </w:p>
    <w:p w:rsidR="00A96EAF" w:rsidRPr="009B3960" w:rsidRDefault="00A96EAF" w:rsidP="00A96EAF">
      <w:pPr>
        <w:pStyle w:val="Funotentext"/>
        <w:numPr>
          <w:ilvl w:val="0"/>
          <w:numId w:val="7"/>
        </w:numPr>
        <w:rPr>
          <w:rFonts w:ascii="Calibri" w:hAnsi="Calibri" w:cs="Calibri"/>
          <w:color w:val="1F497D"/>
          <w:sz w:val="24"/>
          <w:szCs w:val="22"/>
          <w:lang w:eastAsia="en-US"/>
        </w:rPr>
      </w:pPr>
      <w:r w:rsidRPr="009B3960">
        <w:rPr>
          <w:rFonts w:ascii="Calibri" w:hAnsi="Calibri" w:cs="Calibri"/>
          <w:color w:val="1F497D"/>
          <w:sz w:val="24"/>
          <w:szCs w:val="22"/>
          <w:u w:val="single"/>
          <w:lang w:eastAsia="en-US"/>
        </w:rPr>
        <w:t xml:space="preserve">Den vorgenannten Sachverhalt hat Dr. Thilo </w:t>
      </w:r>
      <w:proofErr w:type="spellStart"/>
      <w:r w:rsidRPr="009B3960">
        <w:rPr>
          <w:rFonts w:ascii="Calibri" w:hAnsi="Calibri" w:cs="Calibri"/>
          <w:color w:val="1F497D"/>
          <w:sz w:val="24"/>
          <w:szCs w:val="22"/>
          <w:u w:val="single"/>
          <w:lang w:eastAsia="en-US"/>
        </w:rPr>
        <w:t>Sarrazin</w:t>
      </w:r>
      <w:proofErr w:type="spellEnd"/>
      <w:r w:rsidRPr="009B3960">
        <w:rPr>
          <w:rFonts w:ascii="Calibri" w:hAnsi="Calibri" w:cs="Calibri"/>
          <w:color w:val="1F497D"/>
          <w:sz w:val="24"/>
          <w:szCs w:val="22"/>
          <w:lang w:eastAsia="en-US"/>
        </w:rPr>
        <w:t xml:space="preserve">, ehemals Berliner Finanzsenator, der 1982 bis 1989 Referatsleiter für Finanzfragen des </w:t>
      </w:r>
      <w:proofErr w:type="spellStart"/>
      <w:r w:rsidRPr="009B3960">
        <w:rPr>
          <w:rFonts w:ascii="Calibri" w:hAnsi="Calibri" w:cs="Calibri"/>
          <w:color w:val="1F497D"/>
          <w:sz w:val="24"/>
          <w:szCs w:val="22"/>
          <w:lang w:eastAsia="en-US"/>
        </w:rPr>
        <w:t>Bundesver</w:t>
      </w:r>
      <w:r w:rsidR="009B3960">
        <w:rPr>
          <w:rFonts w:ascii="Calibri" w:hAnsi="Calibri" w:cs="Calibri"/>
          <w:color w:val="1F497D"/>
          <w:sz w:val="24"/>
          <w:szCs w:val="22"/>
          <w:lang w:eastAsia="en-US"/>
        </w:rPr>
        <w:t>-</w:t>
      </w:r>
      <w:r w:rsidRPr="009B3960">
        <w:rPr>
          <w:rFonts w:ascii="Calibri" w:hAnsi="Calibri" w:cs="Calibri"/>
          <w:color w:val="1F497D"/>
          <w:sz w:val="24"/>
          <w:szCs w:val="22"/>
          <w:lang w:eastAsia="en-US"/>
        </w:rPr>
        <w:t>kehrsministeriums</w:t>
      </w:r>
      <w:proofErr w:type="spellEnd"/>
      <w:r w:rsidRPr="009B3960">
        <w:rPr>
          <w:rFonts w:ascii="Calibri" w:hAnsi="Calibri" w:cs="Calibri"/>
          <w:color w:val="1F497D"/>
          <w:sz w:val="24"/>
          <w:szCs w:val="22"/>
          <w:lang w:eastAsia="en-US"/>
        </w:rPr>
        <w:t xml:space="preserve"> ( u.a. für Verkehrsbeteiligungen und Bundesbahn) und in den Jahren 2000/2001 Vorstand der DB Netz AG war, </w:t>
      </w:r>
      <w:r w:rsidRPr="009B3960">
        <w:rPr>
          <w:rFonts w:ascii="Calibri" w:hAnsi="Calibri" w:cs="Calibri"/>
          <w:color w:val="1F497D"/>
          <w:sz w:val="24"/>
          <w:szCs w:val="22"/>
          <w:u w:val="single"/>
          <w:lang w:eastAsia="en-US"/>
        </w:rPr>
        <w:t>neuerdings entscheidend bekräftigt</w:t>
      </w:r>
      <w:r w:rsidRPr="009B3960">
        <w:rPr>
          <w:rFonts w:ascii="Calibri" w:hAnsi="Calibri" w:cs="Calibri"/>
          <w:color w:val="1F497D"/>
          <w:sz w:val="24"/>
          <w:szCs w:val="22"/>
          <w:lang w:eastAsia="en-US"/>
        </w:rPr>
        <w:t xml:space="preserve">. Näheres ist in </w:t>
      </w:r>
      <w:r w:rsidR="008B38C0">
        <w:rPr>
          <w:rFonts w:ascii="Calibri" w:hAnsi="Calibri" w:cs="Calibri"/>
          <w:color w:val="1F497D"/>
          <w:sz w:val="24"/>
          <w:szCs w:val="22"/>
          <w:lang w:eastAsia="en-US"/>
        </w:rPr>
        <w:t xml:space="preserve">vorliegender Beschwerdesache </w:t>
      </w:r>
      <w:r w:rsidRPr="009B3960">
        <w:rPr>
          <w:rFonts w:ascii="Calibri" w:hAnsi="Calibri" w:cs="Calibri"/>
          <w:color w:val="1F497D"/>
          <w:sz w:val="24"/>
          <w:szCs w:val="22"/>
          <w:lang w:eastAsia="en-US"/>
        </w:rPr>
        <w:t>im Schriftsatz vom 14.06.2018 Seite 2 ausgeführt und belegt worden, worauf Bezug zu nehmen ist.  Hiernach waren es „</w:t>
      </w:r>
      <w:r w:rsidRPr="009B3960">
        <w:rPr>
          <w:rFonts w:ascii="Calibri" w:hAnsi="Calibri" w:cs="Calibri"/>
          <w:color w:val="1F497D"/>
          <w:sz w:val="24"/>
          <w:szCs w:val="22"/>
          <w:u w:val="single"/>
          <w:lang w:eastAsia="en-US"/>
        </w:rPr>
        <w:t>äußerst irrationale Gründe“, Stuttgart 21 als „politisches Lieblingsobjekt“ realisieren zu wollen</w:t>
      </w:r>
      <w:r w:rsidRPr="009B3960">
        <w:rPr>
          <w:rFonts w:ascii="Calibri" w:hAnsi="Calibri" w:cs="Calibri"/>
          <w:color w:val="1F497D"/>
          <w:sz w:val="24"/>
          <w:szCs w:val="22"/>
          <w:lang w:eastAsia="en-US"/>
        </w:rPr>
        <w:t xml:space="preserve">, obwohl es von Beginn an von Seiten der DB AG als höchst unwirtschaftlich erkannt wurde. Offenbar in der Absicht, sich vom Tatvorwurf der Untreue zu entlasten, hat denn der Vorstandsvorsitzende Richard Lutz am 18.04.2018 auch in der Pose der Unschuld vor dem Verkehrsausschuss des Bundestages beteuert, „man würde mit dem Wissen von heute das Projekt nicht mehr bauen“. </w:t>
      </w:r>
      <w:r w:rsidR="008B38C0">
        <w:rPr>
          <w:rFonts w:ascii="Calibri" w:hAnsi="Calibri" w:cs="Calibri"/>
          <w:color w:val="1F497D"/>
          <w:sz w:val="24"/>
          <w:szCs w:val="22"/>
          <w:lang w:eastAsia="en-US"/>
        </w:rPr>
        <w:t>Wäre dies zutreffend, könnte es die Beschuldigten entlasten.</w:t>
      </w:r>
    </w:p>
    <w:p w:rsidR="00A96EAF" w:rsidRPr="009B3960" w:rsidRDefault="00A96EAF" w:rsidP="00A96EAF">
      <w:pPr>
        <w:pStyle w:val="Funotentext"/>
        <w:numPr>
          <w:ilvl w:val="0"/>
          <w:numId w:val="7"/>
        </w:numPr>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Die vorbezeichnete Unschuldsbehauptung des Tatverdächtigen Lutz ist </w:t>
      </w:r>
      <w:r w:rsidR="008B38C0">
        <w:rPr>
          <w:rFonts w:ascii="Calibri" w:hAnsi="Calibri" w:cs="Calibri"/>
          <w:color w:val="1F497D"/>
          <w:sz w:val="24"/>
          <w:szCs w:val="22"/>
          <w:lang w:eastAsia="en-US"/>
        </w:rPr>
        <w:t xml:space="preserve">jedoch </w:t>
      </w:r>
      <w:r w:rsidRPr="009B3960">
        <w:rPr>
          <w:rFonts w:ascii="Calibri" w:hAnsi="Calibri" w:cs="Calibri"/>
          <w:color w:val="1F497D"/>
          <w:sz w:val="24"/>
          <w:szCs w:val="22"/>
          <w:lang w:eastAsia="en-US"/>
        </w:rPr>
        <w:t xml:space="preserve">unglaubwürdig: Das folgt besonders daraus, dass </w:t>
      </w:r>
      <w:r w:rsidRPr="009B3960">
        <w:rPr>
          <w:rFonts w:ascii="Calibri" w:hAnsi="Calibri" w:cs="Calibri"/>
          <w:color w:val="1F497D"/>
          <w:sz w:val="24"/>
          <w:szCs w:val="22"/>
          <w:u w:val="single"/>
          <w:lang w:eastAsia="en-US"/>
        </w:rPr>
        <w:t>die Projektentwicklung von S 21 seit 2009</w:t>
      </w:r>
      <w:r w:rsidRPr="009B3960">
        <w:rPr>
          <w:rFonts w:ascii="Calibri" w:hAnsi="Calibri" w:cs="Calibri"/>
          <w:color w:val="1F497D"/>
          <w:sz w:val="24"/>
          <w:szCs w:val="22"/>
          <w:lang w:eastAsia="en-US"/>
        </w:rPr>
        <w:t xml:space="preserve"> – vor und nach Abschluss des Finanzierungsvertrags -  </w:t>
      </w:r>
      <w:r w:rsidRPr="009B3960">
        <w:rPr>
          <w:rFonts w:ascii="Calibri" w:hAnsi="Calibri" w:cs="Calibri"/>
          <w:color w:val="1F497D"/>
          <w:sz w:val="24"/>
          <w:szCs w:val="22"/>
          <w:u w:val="single"/>
          <w:lang w:eastAsia="en-US"/>
        </w:rPr>
        <w:t>eine Kette fortgesetzter Pflichtwidrigkeiten und Schadensfolgen aufweist</w:t>
      </w:r>
      <w:r w:rsidRPr="009B3960">
        <w:rPr>
          <w:rFonts w:ascii="Calibri" w:hAnsi="Calibri" w:cs="Calibri"/>
          <w:color w:val="1F497D"/>
          <w:sz w:val="24"/>
          <w:szCs w:val="22"/>
          <w:lang w:eastAsia="en-US"/>
        </w:rPr>
        <w:t xml:space="preserve">, die im vorgelegten Rechtsgutachten von Prof. Dr. Jens Bülte einschließlich der </w:t>
      </w:r>
      <w:proofErr w:type="spellStart"/>
      <w:r w:rsidRPr="009B3960">
        <w:rPr>
          <w:rFonts w:ascii="Calibri" w:hAnsi="Calibri" w:cs="Calibri"/>
          <w:color w:val="1F497D"/>
          <w:sz w:val="24"/>
          <w:szCs w:val="22"/>
          <w:lang w:eastAsia="en-US"/>
        </w:rPr>
        <w:t>einschlä</w:t>
      </w:r>
      <w:r w:rsidR="009B3960">
        <w:rPr>
          <w:rFonts w:ascii="Calibri" w:hAnsi="Calibri" w:cs="Calibri"/>
          <w:color w:val="1F497D"/>
          <w:sz w:val="24"/>
          <w:szCs w:val="22"/>
          <w:lang w:eastAsia="en-US"/>
        </w:rPr>
        <w:t>-</w:t>
      </w:r>
      <w:r w:rsidRPr="009B3960">
        <w:rPr>
          <w:rFonts w:ascii="Calibri" w:hAnsi="Calibri" w:cs="Calibri"/>
          <w:color w:val="1F497D"/>
          <w:sz w:val="24"/>
          <w:szCs w:val="22"/>
          <w:lang w:eastAsia="en-US"/>
        </w:rPr>
        <w:t>gigen</w:t>
      </w:r>
      <w:proofErr w:type="spellEnd"/>
      <w:r w:rsidRPr="009B3960">
        <w:rPr>
          <w:rFonts w:ascii="Calibri" w:hAnsi="Calibri" w:cs="Calibri"/>
          <w:color w:val="1F497D"/>
          <w:sz w:val="24"/>
          <w:szCs w:val="22"/>
          <w:lang w:eastAsia="en-US"/>
        </w:rPr>
        <w:t xml:space="preserve"> Anlagen ausgewiesen sind (S. 2-10, 16-21). Es verletzt unser Rechts</w:t>
      </w:r>
      <w:r w:rsidR="00EC66DC">
        <w:rPr>
          <w:rFonts w:ascii="Calibri" w:hAnsi="Calibri" w:cs="Calibri"/>
          <w:color w:val="1F497D"/>
          <w:sz w:val="24"/>
          <w:szCs w:val="22"/>
          <w:lang w:eastAsia="en-US"/>
        </w:rPr>
        <w:t>-</w:t>
      </w:r>
      <w:r w:rsidRPr="009B3960">
        <w:rPr>
          <w:rFonts w:ascii="Calibri" w:hAnsi="Calibri" w:cs="Calibri"/>
          <w:color w:val="1F497D"/>
          <w:sz w:val="24"/>
          <w:szCs w:val="22"/>
          <w:lang w:eastAsia="en-US"/>
        </w:rPr>
        <w:t xml:space="preserve">empfinden und mutmaßlich auch das einer größeren Öffentlichkeit, wenn die von Prof. Dr. Bülte als einer unabhängigen  Autorität des Wirtschaftsstrafrechts genannten Fakten übergangen werden, zumal dessen Ergebnis von Wolfgang </w:t>
      </w:r>
      <w:r w:rsidRPr="009B3960">
        <w:rPr>
          <w:rFonts w:ascii="Calibri" w:hAnsi="Calibri" w:cs="Calibri"/>
          <w:color w:val="1F497D"/>
          <w:sz w:val="24"/>
          <w:szCs w:val="22"/>
          <w:lang w:eastAsia="en-US"/>
        </w:rPr>
        <w:lastRenderedPageBreak/>
        <w:t>Neskovic, BGH-Richter a.D.</w:t>
      </w:r>
      <w:r w:rsidR="001A57F7">
        <w:rPr>
          <w:rFonts w:ascii="Calibri" w:hAnsi="Calibri" w:cs="Calibri"/>
          <w:color w:val="1F497D"/>
          <w:sz w:val="24"/>
          <w:szCs w:val="22"/>
          <w:lang w:eastAsia="en-US"/>
        </w:rPr>
        <w:t>,</w:t>
      </w:r>
      <w:r w:rsidRPr="009B3960">
        <w:rPr>
          <w:rFonts w:ascii="Calibri" w:hAnsi="Calibri" w:cs="Calibri"/>
          <w:color w:val="1F497D"/>
          <w:sz w:val="24"/>
          <w:szCs w:val="22"/>
          <w:lang w:eastAsia="en-US"/>
        </w:rPr>
        <w:t xml:space="preserve"> im Sinne „evident“ gebotener Ermittlungen geteilt wird. Jedenfalls lässt es sich nicht rechtfertigen, die neuen Tatsachen wegen früherer Entscheidungen der Staatsanwaltschaft nicht aufzuklären, worauf der Beschwerdeentscheid jedoch abhebt. </w:t>
      </w:r>
    </w:p>
    <w:p w:rsidR="00A96EAF" w:rsidRPr="009B3960" w:rsidRDefault="00A96EAF" w:rsidP="00F1495A">
      <w:pPr>
        <w:pStyle w:val="Funotentext"/>
        <w:ind w:left="108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Die Entscheidungen der Staatsanwaltschaft von 2013 bis 2015 sind gerade  im Lichte jetzt bekannt gewordener neuer Tatsachen zu hinterfragen. Das betrifft besonders das Gutachten von Prof. Bülte, Aussagen der DB-Insider Dr. </w:t>
      </w:r>
      <w:proofErr w:type="spellStart"/>
      <w:r w:rsidRPr="009B3960">
        <w:rPr>
          <w:rFonts w:ascii="Calibri" w:hAnsi="Calibri" w:cs="Calibri"/>
          <w:color w:val="1F497D"/>
          <w:sz w:val="24"/>
          <w:szCs w:val="22"/>
          <w:lang w:eastAsia="en-US"/>
        </w:rPr>
        <w:t>Sarrazin</w:t>
      </w:r>
      <w:proofErr w:type="spellEnd"/>
      <w:r w:rsidRPr="009B3960">
        <w:rPr>
          <w:rFonts w:ascii="Calibri" w:hAnsi="Calibri" w:cs="Calibri"/>
          <w:color w:val="1F497D"/>
          <w:sz w:val="24"/>
          <w:szCs w:val="22"/>
          <w:lang w:eastAsia="en-US"/>
        </w:rPr>
        <w:t xml:space="preserve">, </w:t>
      </w:r>
      <w:r w:rsidR="001A57F7">
        <w:rPr>
          <w:rFonts w:ascii="Calibri" w:hAnsi="Calibri" w:cs="Calibri"/>
          <w:color w:val="1F497D"/>
          <w:sz w:val="24"/>
          <w:szCs w:val="22"/>
          <w:lang w:eastAsia="en-US"/>
        </w:rPr>
        <w:t xml:space="preserve">ferner Dr. Bäumer, </w:t>
      </w:r>
      <w:r w:rsidRPr="009B3960">
        <w:rPr>
          <w:rFonts w:ascii="Calibri" w:hAnsi="Calibri" w:cs="Calibri"/>
          <w:color w:val="1F497D"/>
          <w:sz w:val="24"/>
          <w:szCs w:val="22"/>
          <w:lang w:eastAsia="en-US"/>
        </w:rPr>
        <w:t>ehemaliger Amtschef Verkehrsressort Baden-Württemberg, zumal seit 2009 begangene Straftaten nicht verjährt sind ( Prof. Bülte, GA S. 24).  So hat  Dr. Bäumer  am 12.12.2017 das jahrelange „</w:t>
      </w:r>
      <w:proofErr w:type="spellStart"/>
      <w:r w:rsidR="00532F95">
        <w:rPr>
          <w:rFonts w:ascii="Calibri" w:hAnsi="Calibri" w:cs="Calibri"/>
          <w:color w:val="1F497D"/>
          <w:sz w:val="24"/>
          <w:szCs w:val="22"/>
          <w:u w:val="single"/>
          <w:lang w:eastAsia="en-US"/>
        </w:rPr>
        <w:t>Herunterreden</w:t>
      </w:r>
      <w:proofErr w:type="spellEnd"/>
      <w:r w:rsidR="00532F95">
        <w:rPr>
          <w:rFonts w:ascii="Calibri" w:hAnsi="Calibri" w:cs="Calibri"/>
          <w:color w:val="1F497D"/>
          <w:sz w:val="24"/>
          <w:szCs w:val="22"/>
          <w:u w:val="single"/>
          <w:lang w:eastAsia="en-US"/>
        </w:rPr>
        <w:t xml:space="preserve"> und Ver</w:t>
      </w:r>
      <w:r w:rsidRPr="009B3960">
        <w:rPr>
          <w:rFonts w:ascii="Calibri" w:hAnsi="Calibri" w:cs="Calibri"/>
          <w:color w:val="1F497D"/>
          <w:sz w:val="24"/>
          <w:szCs w:val="22"/>
          <w:u w:val="single"/>
          <w:lang w:eastAsia="en-US"/>
        </w:rPr>
        <w:t>schweigen der Fakten und Risiken</w:t>
      </w:r>
      <w:r w:rsidRPr="009B3960">
        <w:rPr>
          <w:rFonts w:ascii="Calibri" w:hAnsi="Calibri" w:cs="Calibri"/>
          <w:color w:val="1F497D"/>
          <w:sz w:val="24"/>
          <w:szCs w:val="22"/>
          <w:lang w:eastAsia="en-US"/>
        </w:rPr>
        <w:t xml:space="preserve">“ durch die Bahnspitze bei S 21 scharf angegriffen (Beschwerdeschrift </w:t>
      </w:r>
      <w:r w:rsidR="00532F95">
        <w:rPr>
          <w:rFonts w:ascii="Calibri" w:hAnsi="Calibri" w:cs="Calibri"/>
          <w:color w:val="1F497D"/>
          <w:sz w:val="24"/>
          <w:szCs w:val="22"/>
          <w:lang w:eastAsia="en-US"/>
        </w:rPr>
        <w:t xml:space="preserve">vom 15.01.18, </w:t>
      </w:r>
      <w:r w:rsidRPr="009B3960">
        <w:rPr>
          <w:rFonts w:ascii="Calibri" w:hAnsi="Calibri" w:cs="Calibri"/>
          <w:color w:val="1F497D"/>
          <w:sz w:val="24"/>
          <w:szCs w:val="22"/>
          <w:lang w:eastAsia="en-US"/>
        </w:rPr>
        <w:t>S. 14). Zwei Höhepunkte dieser schwerwiegenden Pflichtverstöße sind hervorzuheben:  Jene 891 Millionen Euro illusionärer „Einspar</w:t>
      </w:r>
      <w:r w:rsidR="00F1495A">
        <w:rPr>
          <w:rFonts w:ascii="Calibri" w:hAnsi="Calibri" w:cs="Calibri"/>
          <w:color w:val="1F497D"/>
          <w:sz w:val="24"/>
          <w:szCs w:val="22"/>
          <w:lang w:eastAsia="en-US"/>
        </w:rPr>
        <w:t>-</w:t>
      </w:r>
      <w:r w:rsidRPr="009B3960">
        <w:rPr>
          <w:rFonts w:ascii="Calibri" w:hAnsi="Calibri" w:cs="Calibri"/>
          <w:color w:val="1F497D"/>
          <w:sz w:val="24"/>
          <w:szCs w:val="22"/>
          <w:lang w:eastAsia="en-US"/>
        </w:rPr>
        <w:t>potentiale“ (Dez. 2009) – siehe diesseits vorgelegte Nachweise und Gutachten Prof. Bülte hierzu – sowie der Beschluss des  Aufsichtsrats vom 5. März 2013 zum Weiterbau von S 21 trotz zwei Milliarden Euro  K</w:t>
      </w:r>
      <w:r w:rsidR="00EC66DC">
        <w:rPr>
          <w:rFonts w:ascii="Calibri" w:hAnsi="Calibri" w:cs="Calibri"/>
          <w:color w:val="1F497D"/>
          <w:sz w:val="24"/>
          <w:szCs w:val="22"/>
          <w:lang w:eastAsia="en-US"/>
        </w:rPr>
        <w:t>ostensteigerung und nachgewiese</w:t>
      </w:r>
      <w:r w:rsidRPr="009B3960">
        <w:rPr>
          <w:rFonts w:ascii="Calibri" w:hAnsi="Calibri" w:cs="Calibri"/>
          <w:color w:val="1F497D"/>
          <w:sz w:val="24"/>
          <w:szCs w:val="22"/>
          <w:lang w:eastAsia="en-US"/>
        </w:rPr>
        <w:t>ner Unwirtschaftlichkeit. Allein schon diese Fakten weisen darauf hin, dass sich Vorstände und Aufsichtsräte der DB AG dem sachfremden politischen Verlangen der Bundesregierung gebeugt und sich mit der damit verbundenen Schädigung der DB AG zumindest abgefunden haben. Soweit zwei der drei Bundesvertreter im Aufsichtsrat dies zur Beibehaltung ihrer hervorgehobenen Stellung in der Bundesregierung getan haben (siehe etwa den Bericht der Wirtschaftswoche v. 18.03.</w:t>
      </w:r>
      <w:r w:rsidR="00F1495A">
        <w:rPr>
          <w:rFonts w:ascii="Calibri" w:hAnsi="Calibri" w:cs="Calibri"/>
          <w:color w:val="1F497D"/>
          <w:sz w:val="24"/>
          <w:szCs w:val="22"/>
          <w:lang w:eastAsia="en-US"/>
        </w:rPr>
        <w:t>20</w:t>
      </w:r>
      <w:r w:rsidRPr="009B3960">
        <w:rPr>
          <w:rFonts w:ascii="Calibri" w:hAnsi="Calibri" w:cs="Calibri"/>
          <w:color w:val="1F497D"/>
          <w:sz w:val="24"/>
          <w:szCs w:val="22"/>
          <w:lang w:eastAsia="en-US"/>
        </w:rPr>
        <w:t>13, S.14 „Anruf beim Minister“), könnte ferner eigensüchtiges Handeln vorliegen, das der Beschwerdebescheid verneint</w:t>
      </w:r>
      <w:r w:rsidR="00F1495A">
        <w:rPr>
          <w:rFonts w:ascii="Calibri" w:hAnsi="Calibri" w:cs="Calibri"/>
          <w:color w:val="1F497D"/>
          <w:sz w:val="24"/>
          <w:szCs w:val="22"/>
          <w:lang w:eastAsia="en-US"/>
        </w:rPr>
        <w:t>.</w:t>
      </w:r>
      <w:r w:rsidRPr="009B3960">
        <w:rPr>
          <w:rFonts w:ascii="Calibri" w:hAnsi="Calibri" w:cs="Calibri"/>
          <w:color w:val="1F497D"/>
          <w:sz w:val="24"/>
          <w:szCs w:val="22"/>
          <w:lang w:eastAsia="en-US"/>
        </w:rPr>
        <w:t xml:space="preserve"> </w:t>
      </w:r>
    </w:p>
    <w:p w:rsidR="00A96EAF" w:rsidRPr="009B3960" w:rsidRDefault="00A96EAF" w:rsidP="00A96EAF">
      <w:pPr>
        <w:pStyle w:val="Funotentext"/>
        <w:numPr>
          <w:ilvl w:val="0"/>
          <w:numId w:val="7"/>
        </w:numPr>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In der </w:t>
      </w:r>
      <w:r w:rsidR="00F1495A">
        <w:rPr>
          <w:rFonts w:ascii="Calibri" w:hAnsi="Calibri" w:cs="Calibri"/>
          <w:color w:val="1F497D"/>
          <w:sz w:val="24"/>
          <w:szCs w:val="22"/>
          <w:lang w:eastAsia="en-US"/>
        </w:rPr>
        <w:t xml:space="preserve">zuvor erstatteten </w:t>
      </w:r>
      <w:r w:rsidRPr="009B3960">
        <w:rPr>
          <w:rFonts w:ascii="Calibri" w:hAnsi="Calibri" w:cs="Calibri"/>
          <w:color w:val="1F497D"/>
          <w:sz w:val="24"/>
          <w:szCs w:val="22"/>
          <w:lang w:eastAsia="en-US"/>
        </w:rPr>
        <w:t>Strafanzeige vom 15.02.2017</w:t>
      </w:r>
      <w:r w:rsidR="00F1495A">
        <w:rPr>
          <w:rFonts w:ascii="Calibri" w:hAnsi="Calibri" w:cs="Calibri"/>
          <w:color w:val="1F497D"/>
          <w:sz w:val="24"/>
          <w:szCs w:val="22"/>
          <w:lang w:eastAsia="en-US"/>
        </w:rPr>
        <w:t xml:space="preserve"> (121 Zs 366/18) </w:t>
      </w:r>
      <w:r w:rsidRPr="009B3960">
        <w:rPr>
          <w:rFonts w:ascii="Calibri" w:hAnsi="Calibri" w:cs="Calibri"/>
          <w:color w:val="1F497D"/>
          <w:sz w:val="24"/>
          <w:szCs w:val="22"/>
          <w:lang w:eastAsia="en-US"/>
        </w:rPr>
        <w:t xml:space="preserve"> und in der </w:t>
      </w:r>
      <w:r w:rsidRPr="009B3960">
        <w:rPr>
          <w:rFonts w:ascii="Calibri" w:hAnsi="Calibri" w:cs="Calibri"/>
          <w:color w:val="1F497D"/>
          <w:sz w:val="24"/>
          <w:szCs w:val="22"/>
          <w:u w:val="single"/>
          <w:lang w:eastAsia="en-US"/>
        </w:rPr>
        <w:t>Beschwerdebegründung vom 15.01.2018</w:t>
      </w:r>
      <w:r w:rsidRPr="009B3960">
        <w:rPr>
          <w:rFonts w:ascii="Calibri" w:hAnsi="Calibri" w:cs="Calibri"/>
          <w:color w:val="1F497D"/>
          <w:sz w:val="24"/>
          <w:szCs w:val="22"/>
          <w:lang w:eastAsia="en-US"/>
        </w:rPr>
        <w:t xml:space="preserve"> werden auf Seite 5 bis 17 umfangreich konkrete Anhaltspunkte vorgetragen und unter Beweis gestellt, die für die billigende Inkaufnahme der Schädigung des Bahnkonzerns aus Gründen sachfremder politischer Einflüsse zur Umsetzung von S 21 bedeutsam sind. Denn das betrifft eine </w:t>
      </w:r>
      <w:r w:rsidRPr="009B3960">
        <w:rPr>
          <w:rFonts w:ascii="Calibri" w:hAnsi="Calibri" w:cs="Calibri"/>
          <w:color w:val="1F497D"/>
          <w:sz w:val="24"/>
          <w:szCs w:val="22"/>
          <w:u w:val="single"/>
          <w:lang w:eastAsia="en-US"/>
        </w:rPr>
        <w:t>Kette zusammenhängender Verhaltensweisen der Beschuldigten</w:t>
      </w:r>
      <w:r w:rsidRPr="009B3960">
        <w:rPr>
          <w:rFonts w:ascii="Calibri" w:hAnsi="Calibri" w:cs="Calibri"/>
          <w:color w:val="1F497D"/>
          <w:sz w:val="24"/>
          <w:szCs w:val="22"/>
          <w:lang w:eastAsia="en-US"/>
        </w:rPr>
        <w:t xml:space="preserve"> </w:t>
      </w:r>
      <w:r w:rsidRPr="009B3960">
        <w:rPr>
          <w:rFonts w:ascii="Calibri" w:hAnsi="Calibri" w:cs="Calibri"/>
          <w:color w:val="1F497D"/>
          <w:sz w:val="24"/>
          <w:szCs w:val="22"/>
          <w:u w:val="single"/>
          <w:lang w:eastAsia="en-US"/>
        </w:rPr>
        <w:t>beim gleichen Großprojekt</w:t>
      </w:r>
      <w:r w:rsidRPr="009B3960">
        <w:rPr>
          <w:rFonts w:ascii="Calibri" w:hAnsi="Calibri" w:cs="Calibri"/>
          <w:color w:val="1F497D"/>
          <w:sz w:val="24"/>
          <w:szCs w:val="22"/>
          <w:lang w:eastAsia="en-US"/>
        </w:rPr>
        <w:t xml:space="preserve">, was den erhobenen Tatverdacht auf brisante Weise verstärkt: So haben z.B. (1) Vorstände und Aufsichtsräte der DB AG am 10.12.2009 (Prof. Bülte fügt dafür das Dokument aus dem Lenkungskreis zu S 21 bei) 891 Millionen Euro „herunter- und schön gerechnet“, um das Projekt nicht zu gefährden (die DB AG bestätigte es am 12.12.2012, Dr. Bäumer 5 Jahre später in der </w:t>
      </w:r>
      <w:proofErr w:type="spellStart"/>
      <w:r w:rsidRPr="009B3960">
        <w:rPr>
          <w:rFonts w:ascii="Calibri" w:hAnsi="Calibri" w:cs="Calibri"/>
          <w:color w:val="1F497D"/>
          <w:sz w:val="24"/>
          <w:szCs w:val="22"/>
          <w:lang w:eastAsia="en-US"/>
        </w:rPr>
        <w:t>StZ</w:t>
      </w:r>
      <w:proofErr w:type="spellEnd"/>
      <w:r w:rsidRPr="009B3960">
        <w:rPr>
          <w:rFonts w:ascii="Calibri" w:hAnsi="Calibri" w:cs="Calibri"/>
          <w:color w:val="1F497D"/>
          <w:sz w:val="24"/>
          <w:szCs w:val="22"/>
          <w:lang w:eastAsia="en-US"/>
        </w:rPr>
        <w:t xml:space="preserve"> ); (2) das Dossier aus dem Bundesverkehrsressort forderte die „ernsthafte Prüfung von Alternativen zum Projekt bis hin zum Ausstieg“ u.a., weil sich das Projekt als unwirtschaftlich erwiesen hatte (S. 6 Beschwerdebegründung); genau dies alarm</w:t>
      </w:r>
      <w:r w:rsidR="00EC66DC">
        <w:rPr>
          <w:rFonts w:ascii="Calibri" w:hAnsi="Calibri" w:cs="Calibri"/>
          <w:color w:val="1F497D"/>
          <w:sz w:val="24"/>
          <w:szCs w:val="22"/>
          <w:lang w:eastAsia="en-US"/>
        </w:rPr>
        <w:t>ierte anschließend die Bundesre</w:t>
      </w:r>
      <w:r w:rsidRPr="009B3960">
        <w:rPr>
          <w:rFonts w:ascii="Calibri" w:hAnsi="Calibri" w:cs="Calibri"/>
          <w:color w:val="1F497D"/>
          <w:sz w:val="24"/>
          <w:szCs w:val="22"/>
          <w:lang w:eastAsia="en-US"/>
        </w:rPr>
        <w:t>gierung lt. S. 3 des Vermerks vom 5.02.2013;</w:t>
      </w:r>
      <w:r w:rsidR="00683D75" w:rsidRPr="009B3960">
        <w:rPr>
          <w:rFonts w:ascii="Calibri" w:hAnsi="Calibri" w:cs="Calibri"/>
          <w:color w:val="1F497D"/>
          <w:sz w:val="24"/>
          <w:szCs w:val="22"/>
          <w:lang w:eastAsia="en-US"/>
        </w:rPr>
        <w:t xml:space="preserve"> </w:t>
      </w:r>
      <w:r w:rsidRPr="009B3960">
        <w:rPr>
          <w:rFonts w:ascii="Calibri" w:hAnsi="Calibri" w:cs="Calibri"/>
          <w:color w:val="1F497D"/>
          <w:sz w:val="24"/>
          <w:szCs w:val="22"/>
          <w:lang w:eastAsia="en-US"/>
        </w:rPr>
        <w:t xml:space="preserve">(3) es kam zu fünf amtlichen Vermerken von Dirk </w:t>
      </w:r>
      <w:proofErr w:type="spellStart"/>
      <w:r w:rsidRPr="009B3960">
        <w:rPr>
          <w:rFonts w:ascii="Calibri" w:hAnsi="Calibri" w:cs="Calibri"/>
          <w:color w:val="1F497D"/>
          <w:sz w:val="24"/>
          <w:szCs w:val="22"/>
          <w:lang w:eastAsia="en-US"/>
        </w:rPr>
        <w:t>Pung-Jakobsen</w:t>
      </w:r>
      <w:proofErr w:type="spellEnd"/>
      <w:r w:rsidRPr="009B3960">
        <w:rPr>
          <w:rFonts w:ascii="Calibri" w:hAnsi="Calibri" w:cs="Calibri"/>
          <w:color w:val="1F497D"/>
          <w:sz w:val="24"/>
          <w:szCs w:val="22"/>
          <w:lang w:eastAsia="en-US"/>
        </w:rPr>
        <w:t xml:space="preserve"> aus dem Bundeskanzleramt in der Zeit vom 4.12.2012 bis 22.02.2013 an den damaligen Kanzleramtschef Ronald </w:t>
      </w:r>
      <w:proofErr w:type="spellStart"/>
      <w:r w:rsidRPr="009B3960">
        <w:rPr>
          <w:rFonts w:ascii="Calibri" w:hAnsi="Calibri" w:cs="Calibri"/>
          <w:color w:val="1F497D"/>
          <w:sz w:val="24"/>
          <w:szCs w:val="22"/>
          <w:lang w:eastAsia="en-US"/>
        </w:rPr>
        <w:t>Pofalla</w:t>
      </w:r>
      <w:proofErr w:type="spellEnd"/>
      <w:r w:rsidRPr="009B3960">
        <w:rPr>
          <w:rFonts w:ascii="Calibri" w:hAnsi="Calibri" w:cs="Calibri"/>
          <w:color w:val="1F497D"/>
          <w:sz w:val="24"/>
          <w:szCs w:val="22"/>
          <w:lang w:eastAsia="en-US"/>
        </w:rPr>
        <w:t xml:space="preserve"> und an die Bundeskanzlerin wegen      S 21: Zw</w:t>
      </w:r>
      <w:r w:rsidR="00532F95">
        <w:rPr>
          <w:rFonts w:ascii="Calibri" w:hAnsi="Calibri" w:cs="Calibri"/>
          <w:color w:val="1F497D"/>
          <w:sz w:val="24"/>
          <w:szCs w:val="22"/>
          <w:lang w:eastAsia="en-US"/>
        </w:rPr>
        <w:t>ei davon betrafen die Vorbereitung</w:t>
      </w:r>
      <w:r w:rsidRPr="009B3960">
        <w:rPr>
          <w:rFonts w:ascii="Calibri" w:hAnsi="Calibri" w:cs="Calibri"/>
          <w:color w:val="1F497D"/>
          <w:sz w:val="24"/>
          <w:szCs w:val="22"/>
          <w:lang w:eastAsia="en-US"/>
        </w:rPr>
        <w:t xml:space="preserve"> von Gesprächen für Herrn </w:t>
      </w:r>
      <w:proofErr w:type="spellStart"/>
      <w:r w:rsidRPr="009B3960">
        <w:rPr>
          <w:rFonts w:ascii="Calibri" w:hAnsi="Calibri" w:cs="Calibri"/>
          <w:color w:val="1F497D"/>
          <w:sz w:val="24"/>
          <w:szCs w:val="22"/>
          <w:lang w:eastAsia="en-US"/>
        </w:rPr>
        <w:t>Pofalla</w:t>
      </w:r>
      <w:proofErr w:type="spellEnd"/>
      <w:r w:rsidRPr="009B3960">
        <w:rPr>
          <w:rFonts w:ascii="Calibri" w:hAnsi="Calibri" w:cs="Calibri"/>
          <w:color w:val="1F497D"/>
          <w:sz w:val="24"/>
          <w:szCs w:val="22"/>
          <w:lang w:eastAsia="en-US"/>
        </w:rPr>
        <w:t xml:space="preserve"> mit Herren Grube und Kefer sowie mit Staatssekretär und Aufsichtsrat Odenwald, drei Vermerke gingen unmittelbar an die Kanzlerin. Allein schon dies und die wiederholte Betonung, etwa im Vermerk vom 5.02.2013 Seite 2 an die Bunde</w:t>
      </w:r>
      <w:r w:rsidR="00532F95">
        <w:rPr>
          <w:rFonts w:ascii="Calibri" w:hAnsi="Calibri" w:cs="Calibri"/>
          <w:color w:val="1F497D"/>
          <w:sz w:val="24"/>
          <w:szCs w:val="22"/>
          <w:lang w:eastAsia="en-US"/>
        </w:rPr>
        <w:t xml:space="preserve">skanzlerin zeigen, wie sehr S 21 </w:t>
      </w:r>
      <w:r w:rsidRPr="009B3960">
        <w:rPr>
          <w:rFonts w:ascii="Calibri" w:hAnsi="Calibri" w:cs="Calibri"/>
          <w:color w:val="1F497D"/>
          <w:sz w:val="24"/>
          <w:szCs w:val="22"/>
          <w:lang w:eastAsia="en-US"/>
        </w:rPr>
        <w:t xml:space="preserve">speziellen politischen Wünschen unterworfen wurde: „Der Bahnvorstand will an der Verwirklichung des Projekts </w:t>
      </w:r>
      <w:r w:rsidRPr="009B3960">
        <w:rPr>
          <w:rFonts w:ascii="Calibri" w:hAnsi="Calibri" w:cs="Calibri"/>
          <w:color w:val="1F497D"/>
          <w:sz w:val="24"/>
          <w:szCs w:val="22"/>
          <w:lang w:eastAsia="en-US"/>
        </w:rPr>
        <w:lastRenderedPageBreak/>
        <w:t>festhalten und sieht dabei auch die politische Bedeutung der Verwirklichung eines großen Infrastruktu</w:t>
      </w:r>
      <w:r w:rsidR="00F1495A">
        <w:rPr>
          <w:rFonts w:ascii="Calibri" w:hAnsi="Calibri" w:cs="Calibri"/>
          <w:color w:val="1F497D"/>
          <w:sz w:val="24"/>
          <w:szCs w:val="22"/>
          <w:lang w:eastAsia="en-US"/>
        </w:rPr>
        <w:t>r</w:t>
      </w:r>
      <w:r w:rsidRPr="009B3960">
        <w:rPr>
          <w:rFonts w:ascii="Calibri" w:hAnsi="Calibri" w:cs="Calibri"/>
          <w:color w:val="1F497D"/>
          <w:sz w:val="24"/>
          <w:szCs w:val="22"/>
          <w:lang w:eastAsia="en-US"/>
        </w:rPr>
        <w:t xml:space="preserve">projekts, zu dem Sie sich wiederholt bekannt haben“. </w:t>
      </w:r>
    </w:p>
    <w:p w:rsidR="00A96EAF" w:rsidRPr="009B3960" w:rsidRDefault="00A96EAF" w:rsidP="00A96EAF">
      <w:pPr>
        <w:pStyle w:val="Funotentext"/>
        <w:ind w:left="1080"/>
        <w:rPr>
          <w:rFonts w:ascii="Calibri" w:hAnsi="Calibri" w:cs="Calibri"/>
          <w:color w:val="1F497D"/>
          <w:sz w:val="24"/>
          <w:szCs w:val="22"/>
          <w:lang w:eastAsia="en-US"/>
        </w:rPr>
      </w:pPr>
      <w:r w:rsidRPr="009B3960">
        <w:rPr>
          <w:rFonts w:ascii="Calibri" w:hAnsi="Calibri" w:cs="Calibri"/>
          <w:color w:val="1F497D"/>
          <w:sz w:val="24"/>
          <w:szCs w:val="22"/>
          <w:lang w:eastAsia="en-US"/>
        </w:rPr>
        <w:t>Beweis: Beiziehung der Akten des Verwaltungsgerichts Berlin (VG 2 K 3.15) mit den darin enthaltenen, teilweise geschwärzten Vermerken, Rechtssache v. Loeper gegen BRD</w:t>
      </w:r>
    </w:p>
    <w:p w:rsidR="00A96EAF" w:rsidRPr="009B3960" w:rsidRDefault="00A96EAF" w:rsidP="00A96EAF">
      <w:pPr>
        <w:pStyle w:val="Funotentext"/>
        <w:ind w:left="108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(4) Im vorgenannten Verfahren, das am 26.05.2016 beendet wurde, sind jene zahlreichen Fakten erläutert und belegt. Insbesondere der Schriftsatz vom 5.05.2017 (21 Seiten) listet die Tatsachen teilweise auch auf Seite 6 bis 10 minutiös auf, die in krassem Maße den Anforderungen des § 93 AktG und der Betreuungspflicht nach § 266 StGB widersprechen. Die Bundeskanzlerin, so hieß </w:t>
      </w:r>
      <w:r w:rsidR="00532F95">
        <w:rPr>
          <w:rFonts w:ascii="Calibri" w:hAnsi="Calibri" w:cs="Calibri"/>
          <w:color w:val="1F497D"/>
          <w:sz w:val="24"/>
          <w:szCs w:val="22"/>
          <w:lang w:eastAsia="en-US"/>
        </w:rPr>
        <w:t>es, „dringt auf S 21-Weiterbau“;</w:t>
      </w:r>
      <w:r w:rsidRPr="009B3960">
        <w:rPr>
          <w:rFonts w:ascii="Calibri" w:hAnsi="Calibri" w:cs="Calibri"/>
          <w:color w:val="1F497D"/>
          <w:sz w:val="24"/>
          <w:szCs w:val="22"/>
          <w:lang w:eastAsia="en-US"/>
        </w:rPr>
        <w:t xml:space="preserve"> </w:t>
      </w:r>
      <w:r w:rsidR="00532F95">
        <w:rPr>
          <w:rFonts w:ascii="Calibri" w:hAnsi="Calibri" w:cs="Calibri"/>
          <w:color w:val="1F497D"/>
          <w:sz w:val="24"/>
          <w:szCs w:val="22"/>
          <w:lang w:eastAsia="en-US"/>
        </w:rPr>
        <w:t xml:space="preserve">ebenso machten </w:t>
      </w:r>
      <w:r w:rsidRPr="009B3960">
        <w:rPr>
          <w:rFonts w:ascii="Calibri" w:hAnsi="Calibri" w:cs="Calibri"/>
          <w:color w:val="1F497D"/>
          <w:sz w:val="24"/>
          <w:szCs w:val="22"/>
          <w:lang w:eastAsia="en-US"/>
        </w:rPr>
        <w:t xml:space="preserve">andere führende Vertreter der Bundesregierung unmissverständlich klar, </w:t>
      </w:r>
      <w:r w:rsidR="00532F95">
        <w:rPr>
          <w:rFonts w:ascii="Calibri" w:hAnsi="Calibri" w:cs="Calibri"/>
          <w:color w:val="1F497D"/>
          <w:sz w:val="24"/>
          <w:szCs w:val="22"/>
          <w:lang w:eastAsia="en-US"/>
        </w:rPr>
        <w:t xml:space="preserve">dass </w:t>
      </w:r>
      <w:r w:rsidR="00AA6E43">
        <w:rPr>
          <w:rFonts w:ascii="Calibri" w:hAnsi="Calibri" w:cs="Calibri"/>
          <w:color w:val="1F497D"/>
          <w:sz w:val="24"/>
          <w:szCs w:val="22"/>
          <w:lang w:eastAsia="en-US"/>
        </w:rPr>
        <w:t xml:space="preserve">das Verlangen der Kanzlerin </w:t>
      </w:r>
      <w:r w:rsidRPr="009B3960">
        <w:rPr>
          <w:rFonts w:ascii="Calibri" w:hAnsi="Calibri" w:cs="Calibri"/>
          <w:color w:val="1F497D"/>
          <w:sz w:val="24"/>
          <w:szCs w:val="22"/>
          <w:lang w:eastAsia="en-US"/>
        </w:rPr>
        <w:t xml:space="preserve">zwei bis drei Wochen vor dem Beschluss des Bahn-Aufsichtsrats vom 5.03.2013 vorbehaltlos und eindringlich eingefordert wurde (Anzeige v. 15.02.17 S. 3 f., Beschwerde S. 7-10), und zwar trotz massiv weggebrochener Wirtschaftlichkeit. Das rigide Verhalten von Ex-Kanzleramtschef </w:t>
      </w:r>
      <w:proofErr w:type="spellStart"/>
      <w:r w:rsidRPr="009B3960">
        <w:rPr>
          <w:rFonts w:ascii="Calibri" w:hAnsi="Calibri" w:cs="Calibri"/>
          <w:color w:val="1F497D"/>
          <w:sz w:val="24"/>
          <w:szCs w:val="22"/>
          <w:lang w:eastAsia="en-US"/>
        </w:rPr>
        <w:t>Pofalla</w:t>
      </w:r>
      <w:proofErr w:type="spellEnd"/>
      <w:r w:rsidRPr="009B3960">
        <w:rPr>
          <w:rFonts w:ascii="Calibri" w:hAnsi="Calibri" w:cs="Calibri"/>
          <w:color w:val="1F497D"/>
          <w:sz w:val="24"/>
          <w:szCs w:val="22"/>
          <w:lang w:eastAsia="en-US"/>
        </w:rPr>
        <w:t xml:space="preserve"> </w:t>
      </w:r>
      <w:r w:rsidR="00F1495A">
        <w:rPr>
          <w:rFonts w:ascii="Calibri" w:hAnsi="Calibri" w:cs="Calibri"/>
          <w:color w:val="1F497D"/>
          <w:sz w:val="24"/>
          <w:szCs w:val="22"/>
          <w:lang w:eastAsia="en-US"/>
        </w:rPr>
        <w:t xml:space="preserve">gegenüber </w:t>
      </w:r>
      <w:r w:rsidRPr="009B3960">
        <w:rPr>
          <w:rFonts w:ascii="Calibri" w:hAnsi="Calibri" w:cs="Calibri"/>
          <w:color w:val="1F497D"/>
          <w:sz w:val="24"/>
          <w:szCs w:val="22"/>
          <w:lang w:eastAsia="en-US"/>
        </w:rPr>
        <w:t xml:space="preserve">MdB </w:t>
      </w:r>
      <w:proofErr w:type="spellStart"/>
      <w:r w:rsidRPr="009B3960">
        <w:rPr>
          <w:rFonts w:ascii="Calibri" w:hAnsi="Calibri" w:cs="Calibri"/>
          <w:color w:val="1F497D"/>
          <w:sz w:val="24"/>
          <w:szCs w:val="22"/>
          <w:lang w:eastAsia="en-US"/>
        </w:rPr>
        <w:t>Bosbach</w:t>
      </w:r>
      <w:proofErr w:type="spellEnd"/>
      <w:r w:rsidRPr="009B3960">
        <w:rPr>
          <w:rFonts w:ascii="Calibri" w:hAnsi="Calibri" w:cs="Calibri"/>
          <w:color w:val="1F497D"/>
          <w:sz w:val="24"/>
          <w:szCs w:val="22"/>
          <w:lang w:eastAsia="en-US"/>
        </w:rPr>
        <w:t xml:space="preserve"> und der Machtwille der Kanzlerin belegen beispielhaft, dass die im </w:t>
      </w:r>
      <w:r w:rsidR="00EC66DC">
        <w:rPr>
          <w:rFonts w:ascii="Calibri" w:hAnsi="Calibri" w:cs="Calibri"/>
          <w:color w:val="1F497D"/>
          <w:sz w:val="24"/>
          <w:szCs w:val="22"/>
          <w:lang w:eastAsia="en-US"/>
        </w:rPr>
        <w:t>DB-</w:t>
      </w:r>
      <w:proofErr w:type="gramStart"/>
      <w:r w:rsidRPr="009B3960">
        <w:rPr>
          <w:rFonts w:ascii="Calibri" w:hAnsi="Calibri" w:cs="Calibri"/>
          <w:color w:val="1F497D"/>
          <w:sz w:val="24"/>
          <w:szCs w:val="22"/>
          <w:lang w:eastAsia="en-US"/>
        </w:rPr>
        <w:t xml:space="preserve">Aufsichtsrat tätigen drei </w:t>
      </w:r>
      <w:proofErr w:type="gramEnd"/>
      <w:r w:rsidRPr="009B3960">
        <w:rPr>
          <w:rFonts w:ascii="Calibri" w:hAnsi="Calibri" w:cs="Calibri"/>
          <w:color w:val="1F497D"/>
          <w:sz w:val="24"/>
          <w:szCs w:val="22"/>
          <w:lang w:eastAsia="en-US"/>
        </w:rPr>
        <w:t xml:space="preserve"> Bundesvertreter wussten, was von ihnen </w:t>
      </w:r>
      <w:r w:rsidR="00AA6E43">
        <w:rPr>
          <w:rFonts w:ascii="Calibri" w:hAnsi="Calibri" w:cs="Calibri"/>
          <w:color w:val="1F497D"/>
          <w:sz w:val="24"/>
          <w:szCs w:val="22"/>
          <w:lang w:eastAsia="en-US"/>
        </w:rPr>
        <w:t xml:space="preserve">gefordert </w:t>
      </w:r>
      <w:r w:rsidR="00EC66DC">
        <w:rPr>
          <w:rFonts w:ascii="Calibri" w:hAnsi="Calibri" w:cs="Calibri"/>
          <w:color w:val="1F497D"/>
          <w:sz w:val="24"/>
          <w:szCs w:val="22"/>
          <w:lang w:eastAsia="en-US"/>
        </w:rPr>
        <w:t xml:space="preserve">wurde. </w:t>
      </w:r>
      <w:r w:rsidR="00AA6E43" w:rsidRPr="00AA6E43">
        <w:rPr>
          <w:rFonts w:ascii="Calibri" w:hAnsi="Calibri" w:cs="Calibri"/>
          <w:color w:val="1F497D"/>
          <w:sz w:val="24"/>
          <w:szCs w:val="22"/>
          <w:u w:val="single"/>
          <w:lang w:eastAsia="en-US"/>
        </w:rPr>
        <w:t xml:space="preserve">So wurden </w:t>
      </w:r>
      <w:r w:rsidRPr="00F1495A">
        <w:rPr>
          <w:rFonts w:ascii="Calibri" w:hAnsi="Calibri" w:cs="Calibri"/>
          <w:color w:val="1F497D"/>
          <w:sz w:val="24"/>
          <w:szCs w:val="22"/>
          <w:u w:val="single"/>
          <w:lang w:eastAsia="en-US"/>
        </w:rPr>
        <w:t>Kontrollorgane</w:t>
      </w:r>
      <w:r w:rsidR="00AA6E43">
        <w:rPr>
          <w:rFonts w:ascii="Calibri" w:hAnsi="Calibri" w:cs="Calibri"/>
          <w:color w:val="1F497D"/>
          <w:sz w:val="24"/>
          <w:szCs w:val="22"/>
          <w:u w:val="single"/>
          <w:lang w:eastAsia="en-US"/>
        </w:rPr>
        <w:t xml:space="preserve"> </w:t>
      </w:r>
      <w:r w:rsidR="00683D75" w:rsidRPr="00F1495A">
        <w:rPr>
          <w:rFonts w:ascii="Calibri" w:hAnsi="Calibri" w:cs="Calibri"/>
          <w:color w:val="1F497D"/>
          <w:sz w:val="24"/>
          <w:szCs w:val="22"/>
          <w:u w:val="single"/>
          <w:lang w:eastAsia="en-US"/>
        </w:rPr>
        <w:t>gesetzwidrig zu Vollzugs</w:t>
      </w:r>
      <w:r w:rsidRPr="00F1495A">
        <w:rPr>
          <w:rFonts w:ascii="Calibri" w:hAnsi="Calibri" w:cs="Calibri"/>
          <w:color w:val="1F497D"/>
          <w:sz w:val="24"/>
          <w:szCs w:val="22"/>
          <w:u w:val="single"/>
          <w:lang w:eastAsia="en-US"/>
        </w:rPr>
        <w:t>organen</w:t>
      </w:r>
      <w:r w:rsidR="00AA6E43">
        <w:rPr>
          <w:rFonts w:ascii="Calibri" w:hAnsi="Calibri" w:cs="Calibri"/>
          <w:color w:val="1F497D"/>
          <w:sz w:val="24"/>
          <w:szCs w:val="22"/>
          <w:u w:val="single"/>
          <w:lang w:eastAsia="en-US"/>
        </w:rPr>
        <w:t xml:space="preserve"> </w:t>
      </w:r>
      <w:r w:rsidRPr="00F1495A">
        <w:rPr>
          <w:rFonts w:ascii="Calibri" w:hAnsi="Calibri" w:cs="Calibri"/>
          <w:color w:val="1F497D"/>
          <w:sz w:val="24"/>
          <w:szCs w:val="22"/>
          <w:u w:val="single"/>
          <w:lang w:eastAsia="en-US"/>
        </w:rPr>
        <w:t>erniedrigt</w:t>
      </w:r>
      <w:r w:rsidR="00AA6E43">
        <w:rPr>
          <w:rFonts w:ascii="Calibri" w:hAnsi="Calibri" w:cs="Calibri"/>
          <w:color w:val="1F497D"/>
          <w:sz w:val="24"/>
          <w:szCs w:val="22"/>
          <w:lang w:eastAsia="en-US"/>
        </w:rPr>
        <w:t>: D</w:t>
      </w:r>
      <w:r w:rsidRPr="009B3960">
        <w:rPr>
          <w:rFonts w:ascii="Calibri" w:hAnsi="Calibri" w:cs="Calibri"/>
          <w:color w:val="1F497D"/>
          <w:sz w:val="24"/>
          <w:szCs w:val="22"/>
          <w:lang w:eastAsia="en-US"/>
        </w:rPr>
        <w:t>er Aufseher Staatssekretär Odenwald aus dem federführenden Bundesverkehr</w:t>
      </w:r>
      <w:r w:rsidR="00AA6E43">
        <w:rPr>
          <w:rFonts w:ascii="Calibri" w:hAnsi="Calibri" w:cs="Calibri"/>
          <w:color w:val="1F497D"/>
          <w:sz w:val="24"/>
          <w:szCs w:val="22"/>
          <w:lang w:eastAsia="en-US"/>
        </w:rPr>
        <w:t>s-</w:t>
      </w:r>
      <w:proofErr w:type="spellStart"/>
      <w:r w:rsidRPr="009B3960">
        <w:rPr>
          <w:rFonts w:ascii="Calibri" w:hAnsi="Calibri" w:cs="Calibri"/>
          <w:color w:val="1F497D"/>
          <w:sz w:val="24"/>
          <w:szCs w:val="22"/>
          <w:lang w:eastAsia="en-US"/>
        </w:rPr>
        <w:t>ministerium</w:t>
      </w:r>
      <w:proofErr w:type="spellEnd"/>
      <w:r w:rsidRPr="009B3960">
        <w:rPr>
          <w:rFonts w:ascii="Calibri" w:hAnsi="Calibri" w:cs="Calibri"/>
          <w:color w:val="1F497D"/>
          <w:sz w:val="24"/>
          <w:szCs w:val="22"/>
          <w:lang w:eastAsia="en-US"/>
        </w:rPr>
        <w:t xml:space="preserve"> wollte laut Vermerk des Kanzleramts vom 9.01.2013 daher im Gespräch </w:t>
      </w:r>
      <w:r w:rsidR="00683D75" w:rsidRPr="009B3960">
        <w:rPr>
          <w:rFonts w:ascii="Calibri" w:hAnsi="Calibri" w:cs="Calibri"/>
          <w:color w:val="1F497D"/>
          <w:sz w:val="24"/>
          <w:szCs w:val="22"/>
          <w:lang w:eastAsia="en-US"/>
        </w:rPr>
        <w:t xml:space="preserve">mit </w:t>
      </w:r>
      <w:proofErr w:type="spellStart"/>
      <w:r w:rsidR="00683D75" w:rsidRPr="009B3960">
        <w:rPr>
          <w:rFonts w:ascii="Calibri" w:hAnsi="Calibri" w:cs="Calibri"/>
          <w:color w:val="1F497D"/>
          <w:sz w:val="24"/>
          <w:szCs w:val="22"/>
          <w:lang w:eastAsia="en-US"/>
        </w:rPr>
        <w:t>Pofalla</w:t>
      </w:r>
      <w:proofErr w:type="spellEnd"/>
      <w:r w:rsidR="00683D75" w:rsidRPr="009B3960">
        <w:rPr>
          <w:rFonts w:ascii="Calibri" w:hAnsi="Calibri" w:cs="Calibri"/>
          <w:color w:val="1F497D"/>
          <w:sz w:val="24"/>
          <w:szCs w:val="22"/>
          <w:lang w:eastAsia="en-US"/>
        </w:rPr>
        <w:t xml:space="preserve"> „eruieren, ob eine </w:t>
      </w:r>
      <w:proofErr w:type="spellStart"/>
      <w:r w:rsidR="00683D75" w:rsidRPr="009B3960">
        <w:rPr>
          <w:rFonts w:ascii="Calibri" w:hAnsi="Calibri" w:cs="Calibri"/>
          <w:color w:val="1F497D"/>
          <w:sz w:val="24"/>
          <w:szCs w:val="22"/>
          <w:lang w:eastAsia="en-US"/>
        </w:rPr>
        <w:t>I</w:t>
      </w:r>
      <w:r w:rsidRPr="009B3960">
        <w:rPr>
          <w:rFonts w:ascii="Calibri" w:hAnsi="Calibri" w:cs="Calibri"/>
          <w:color w:val="1F497D"/>
          <w:sz w:val="24"/>
          <w:szCs w:val="22"/>
          <w:lang w:eastAsia="en-US"/>
        </w:rPr>
        <w:t>nfragestellung</w:t>
      </w:r>
      <w:proofErr w:type="spellEnd"/>
      <w:r w:rsidRPr="009B3960">
        <w:rPr>
          <w:rFonts w:ascii="Calibri" w:hAnsi="Calibri" w:cs="Calibri"/>
          <w:color w:val="1F497D"/>
          <w:sz w:val="24"/>
          <w:szCs w:val="22"/>
          <w:lang w:eastAsia="en-US"/>
        </w:rPr>
        <w:t xml:space="preserve"> des Projekts durch die </w:t>
      </w:r>
      <w:proofErr w:type="spellStart"/>
      <w:r w:rsidRPr="009B3960">
        <w:rPr>
          <w:rFonts w:ascii="Calibri" w:hAnsi="Calibri" w:cs="Calibri"/>
          <w:color w:val="1F497D"/>
          <w:sz w:val="24"/>
          <w:szCs w:val="22"/>
          <w:lang w:eastAsia="en-US"/>
        </w:rPr>
        <w:t>BReg</w:t>
      </w:r>
      <w:proofErr w:type="spellEnd"/>
      <w:r w:rsidRPr="009B3960">
        <w:rPr>
          <w:rFonts w:ascii="Calibri" w:hAnsi="Calibri" w:cs="Calibri"/>
          <w:color w:val="1F497D"/>
          <w:sz w:val="24"/>
          <w:szCs w:val="22"/>
          <w:lang w:eastAsia="en-US"/>
        </w:rPr>
        <w:t xml:space="preserve">/Bundesvertreter im AR akzeptabel ist“ (Beschwerdeschriftsatz S. 7). (5) Solche </w:t>
      </w:r>
      <w:r w:rsidR="00683D75" w:rsidRPr="009B3960">
        <w:rPr>
          <w:rFonts w:ascii="Calibri" w:hAnsi="Calibri" w:cs="Calibri"/>
          <w:color w:val="1F497D"/>
          <w:sz w:val="24"/>
          <w:szCs w:val="22"/>
          <w:lang w:eastAsia="en-US"/>
        </w:rPr>
        <w:t xml:space="preserve">Unterwerfung der Kontrolleure durch </w:t>
      </w:r>
      <w:r w:rsidRPr="009B3960">
        <w:rPr>
          <w:rFonts w:ascii="Calibri" w:hAnsi="Calibri" w:cs="Calibri"/>
          <w:color w:val="1F497D"/>
          <w:sz w:val="24"/>
          <w:szCs w:val="22"/>
          <w:lang w:eastAsia="en-US"/>
        </w:rPr>
        <w:t xml:space="preserve">„weisungsähnliche Handlungen“ </w:t>
      </w:r>
      <w:r w:rsidR="00683D75" w:rsidRPr="009B3960">
        <w:rPr>
          <w:rFonts w:ascii="Calibri" w:hAnsi="Calibri" w:cs="Calibri"/>
          <w:color w:val="1F497D"/>
          <w:sz w:val="24"/>
          <w:szCs w:val="22"/>
          <w:lang w:eastAsia="en-US"/>
        </w:rPr>
        <w:t xml:space="preserve">der Politik </w:t>
      </w:r>
      <w:r w:rsidR="00AA6E43">
        <w:rPr>
          <w:rFonts w:ascii="Calibri" w:hAnsi="Calibri" w:cs="Calibri"/>
          <w:color w:val="1F497D"/>
          <w:sz w:val="24"/>
          <w:szCs w:val="22"/>
          <w:lang w:eastAsia="en-US"/>
        </w:rPr>
        <w:t>war</w:t>
      </w:r>
      <w:r w:rsidRPr="009B3960">
        <w:rPr>
          <w:rFonts w:ascii="Calibri" w:hAnsi="Calibri" w:cs="Calibri"/>
          <w:color w:val="1F497D"/>
          <w:sz w:val="24"/>
          <w:szCs w:val="22"/>
          <w:lang w:eastAsia="en-US"/>
        </w:rPr>
        <w:t xml:space="preserve"> zwar entsprechend §§ 20f. VwVfG unzulässig (siehe Beschwerde S.8 und 9 mit weiteren Nachweis</w:t>
      </w:r>
      <w:r w:rsidR="00F1495A">
        <w:rPr>
          <w:rFonts w:ascii="Calibri" w:hAnsi="Calibri" w:cs="Calibri"/>
          <w:color w:val="1F497D"/>
          <w:sz w:val="24"/>
          <w:szCs w:val="22"/>
          <w:lang w:eastAsia="en-US"/>
        </w:rPr>
        <w:t xml:space="preserve">en),  </w:t>
      </w:r>
      <w:r w:rsidR="00683D75" w:rsidRPr="009B3960">
        <w:rPr>
          <w:rFonts w:ascii="Calibri" w:hAnsi="Calibri" w:cs="Calibri"/>
          <w:color w:val="1F497D"/>
          <w:sz w:val="24"/>
          <w:szCs w:val="22"/>
          <w:lang w:eastAsia="en-US"/>
        </w:rPr>
        <w:t xml:space="preserve">jedoch </w:t>
      </w:r>
      <w:r w:rsidR="00F1495A">
        <w:rPr>
          <w:rFonts w:ascii="Calibri" w:hAnsi="Calibri" w:cs="Calibri"/>
          <w:color w:val="1F497D"/>
          <w:sz w:val="24"/>
          <w:szCs w:val="22"/>
          <w:lang w:eastAsia="en-US"/>
        </w:rPr>
        <w:t xml:space="preserve">wurde dies </w:t>
      </w:r>
      <w:r w:rsidR="00683D75" w:rsidRPr="009B3960">
        <w:rPr>
          <w:rFonts w:ascii="Calibri" w:hAnsi="Calibri" w:cs="Calibri"/>
          <w:color w:val="1F497D"/>
          <w:sz w:val="24"/>
          <w:szCs w:val="22"/>
          <w:lang w:eastAsia="en-US"/>
        </w:rPr>
        <w:t>von Anwalts</w:t>
      </w:r>
      <w:r w:rsidRPr="009B3960">
        <w:rPr>
          <w:rFonts w:ascii="Calibri" w:hAnsi="Calibri" w:cs="Calibri"/>
          <w:color w:val="1F497D"/>
          <w:sz w:val="24"/>
          <w:szCs w:val="22"/>
          <w:lang w:eastAsia="en-US"/>
        </w:rPr>
        <w:t xml:space="preserve">kanzlei Redeker, </w:t>
      </w:r>
      <w:proofErr w:type="spellStart"/>
      <w:r w:rsidRPr="009B3960">
        <w:rPr>
          <w:rFonts w:ascii="Calibri" w:hAnsi="Calibri" w:cs="Calibri"/>
          <w:color w:val="1F497D"/>
          <w:sz w:val="24"/>
          <w:szCs w:val="22"/>
          <w:lang w:eastAsia="en-US"/>
        </w:rPr>
        <w:t>Sellner</w:t>
      </w:r>
      <w:proofErr w:type="spellEnd"/>
      <w:r w:rsidRPr="009B3960">
        <w:rPr>
          <w:rFonts w:ascii="Calibri" w:hAnsi="Calibri" w:cs="Calibri"/>
          <w:color w:val="1F497D"/>
          <w:sz w:val="24"/>
          <w:szCs w:val="22"/>
          <w:lang w:eastAsia="en-US"/>
        </w:rPr>
        <w:t xml:space="preserve">, </w:t>
      </w:r>
      <w:proofErr w:type="spellStart"/>
      <w:r w:rsidRPr="009B3960">
        <w:rPr>
          <w:rFonts w:ascii="Calibri" w:hAnsi="Calibri" w:cs="Calibri"/>
          <w:color w:val="1F497D"/>
          <w:sz w:val="24"/>
          <w:szCs w:val="22"/>
          <w:lang w:eastAsia="en-US"/>
        </w:rPr>
        <w:t>Dahs</w:t>
      </w:r>
      <w:proofErr w:type="spellEnd"/>
      <w:r w:rsidRPr="009B3960">
        <w:rPr>
          <w:rFonts w:ascii="Calibri" w:hAnsi="Calibri" w:cs="Calibri"/>
          <w:color w:val="1F497D"/>
          <w:sz w:val="24"/>
          <w:szCs w:val="22"/>
          <w:lang w:eastAsia="en-US"/>
        </w:rPr>
        <w:t xml:space="preserve"> im Namen der Bundesregierung im Schriftsatz vom 2.06.2015 als „in den wesentlichen Punkten zutreffend“ eingestanden.   </w:t>
      </w:r>
    </w:p>
    <w:p w:rsidR="00A96EAF" w:rsidRPr="009B3960" w:rsidRDefault="00A96EAF" w:rsidP="00A96EAF">
      <w:pPr>
        <w:pStyle w:val="Funotentext"/>
        <w:ind w:left="1080"/>
        <w:rPr>
          <w:rFonts w:ascii="Calibri" w:hAnsi="Calibri" w:cs="Calibri"/>
          <w:color w:val="1F497D"/>
          <w:sz w:val="24"/>
          <w:szCs w:val="22"/>
          <w:lang w:eastAsia="en-US"/>
        </w:rPr>
      </w:pPr>
      <w:r w:rsidRPr="009B3960">
        <w:rPr>
          <w:rFonts w:ascii="Calibri" w:hAnsi="Calibri" w:cs="Calibri"/>
          <w:color w:val="1F497D"/>
          <w:sz w:val="24"/>
          <w:szCs w:val="22"/>
          <w:lang w:eastAsia="en-US"/>
        </w:rPr>
        <w:t>Beweis: Wie oben</w:t>
      </w:r>
    </w:p>
    <w:p w:rsidR="00A96EAF" w:rsidRPr="009B3960" w:rsidRDefault="00A96EAF" w:rsidP="00A96EAF">
      <w:pPr>
        <w:pStyle w:val="Funotentext"/>
        <w:numPr>
          <w:ilvl w:val="0"/>
          <w:numId w:val="7"/>
        </w:numPr>
        <w:rPr>
          <w:rFonts w:ascii="Calibri" w:hAnsi="Calibri" w:cs="Calibri"/>
          <w:color w:val="1F497D"/>
          <w:sz w:val="24"/>
          <w:szCs w:val="22"/>
          <w:lang w:eastAsia="en-US"/>
        </w:rPr>
      </w:pPr>
      <w:r w:rsidRPr="009B3960">
        <w:rPr>
          <w:rFonts w:ascii="Calibri" w:hAnsi="Calibri" w:cs="Calibri"/>
          <w:color w:val="1F497D"/>
          <w:sz w:val="24"/>
          <w:szCs w:val="22"/>
          <w:lang w:eastAsia="en-US"/>
        </w:rPr>
        <w:t>Wenn die Entscheidungsträger aber wiederkehrend pflichtwidrig Investitionen in S 21 verantwortet haben, obwohl dessen Unwirtschaftlichkeit erkennbar vorlag, sprechen alle konkreten Anhaltspunkte dafür, dass sie die Realisierung der Schädigung, die mit dem Vollzug der Investitionen längst begonnen hat und nicht durch gleichzeitig erreichte  wirtschaftliche Vorteile kompensiert wurde, auch gebilligt haben. Wäre es nicht so, hätten sie den Bau verhindert oder dem Weiterbau Einhalt geboten. Da die Schädigung längst fortschreitend erfolgte, als die DB AG verantwortliche Vorhabenträgerin war, ist der Schadenseintritt  den Entscheidern auch zwingend anzurechnen.</w:t>
      </w:r>
    </w:p>
    <w:p w:rsidR="00210144" w:rsidRDefault="00A96EAF" w:rsidP="00A96EAF">
      <w:pPr>
        <w:pStyle w:val="Funotentext"/>
        <w:ind w:left="1080"/>
        <w:rPr>
          <w:rFonts w:ascii="Calibri" w:hAnsi="Calibri" w:cs="Calibri"/>
          <w:color w:val="1F497D"/>
          <w:sz w:val="24"/>
          <w:szCs w:val="22"/>
          <w:lang w:eastAsia="en-US"/>
        </w:rPr>
      </w:pPr>
      <w:r w:rsidRPr="009B3960">
        <w:rPr>
          <w:rFonts w:ascii="Calibri" w:hAnsi="Calibri" w:cs="Calibri"/>
          <w:color w:val="1F497D"/>
          <w:sz w:val="24"/>
          <w:szCs w:val="22"/>
          <w:lang w:eastAsia="en-US"/>
        </w:rPr>
        <w:t xml:space="preserve">Erschwerend kommt hinzu, dass sich der Schaden infolge der Unwirtschaftlichkeit des Projekts nach einer etwaigen Fertigstellung und Inbetriebnahme fortlaufend erhöhen wird. </w:t>
      </w:r>
      <w:r w:rsidR="00210144">
        <w:rPr>
          <w:rFonts w:ascii="Calibri" w:hAnsi="Calibri" w:cs="Calibri"/>
          <w:color w:val="1F497D"/>
          <w:sz w:val="24"/>
          <w:szCs w:val="22"/>
          <w:lang w:eastAsia="en-US"/>
        </w:rPr>
        <w:t>Diesen Sachverhalt hat Bahnchef Richard Lutz mit seiner Aussage im Verkehrsausschuss des Bundestages zu beschönigen versucht, als er zwar einräumte, Stuttgart 21 sei „komplett unwirtschaftlich“, aber nur von einem einmaligen Verlust von 2,228 Milliarden Euro sprach.</w:t>
      </w:r>
    </w:p>
    <w:p w:rsidR="00FD35B3" w:rsidRDefault="00210144" w:rsidP="00210144">
      <w:pPr>
        <w:pStyle w:val="Funotentext"/>
        <w:ind w:left="1080"/>
        <w:rPr>
          <w:rFonts w:ascii="Calibri" w:hAnsi="Calibri" w:cs="Calibri"/>
          <w:color w:val="1F497D"/>
          <w:sz w:val="24"/>
          <w:szCs w:val="22"/>
          <w:lang w:eastAsia="en-US"/>
        </w:rPr>
      </w:pPr>
      <w:r>
        <w:rPr>
          <w:rFonts w:ascii="Calibri" w:hAnsi="Calibri" w:cs="Calibri"/>
          <w:color w:val="1F497D"/>
          <w:sz w:val="24"/>
          <w:szCs w:val="22"/>
          <w:lang w:eastAsia="en-US"/>
        </w:rPr>
        <w:t xml:space="preserve"> </w:t>
      </w:r>
      <w:r w:rsidR="00AA6E43">
        <w:rPr>
          <w:rFonts w:ascii="Calibri" w:hAnsi="Calibri" w:cs="Calibri"/>
          <w:color w:val="1F497D"/>
          <w:sz w:val="24"/>
          <w:szCs w:val="22"/>
          <w:lang w:eastAsia="en-US"/>
        </w:rPr>
        <w:t>Es ist</w:t>
      </w:r>
      <w:r w:rsidR="00A96EAF" w:rsidRPr="009B3960">
        <w:rPr>
          <w:rFonts w:ascii="Calibri" w:hAnsi="Calibri" w:cs="Calibri"/>
          <w:color w:val="1F497D"/>
          <w:sz w:val="24"/>
          <w:szCs w:val="22"/>
          <w:lang w:eastAsia="en-US"/>
        </w:rPr>
        <w:t xml:space="preserve"> </w:t>
      </w:r>
      <w:r>
        <w:rPr>
          <w:rFonts w:ascii="Calibri" w:hAnsi="Calibri" w:cs="Calibri"/>
          <w:color w:val="1F497D"/>
          <w:sz w:val="24"/>
          <w:szCs w:val="22"/>
          <w:lang w:eastAsia="en-US"/>
        </w:rPr>
        <w:t xml:space="preserve">jedoch das </w:t>
      </w:r>
      <w:r w:rsidR="00A96EAF" w:rsidRPr="009B3960">
        <w:rPr>
          <w:rFonts w:ascii="Calibri" w:hAnsi="Calibri" w:cs="Calibri"/>
          <w:color w:val="1F497D"/>
          <w:sz w:val="24"/>
          <w:szCs w:val="22"/>
          <w:lang w:eastAsia="en-US"/>
        </w:rPr>
        <w:t>Kennzeichen der Langzeitschäden d</w:t>
      </w:r>
      <w:r>
        <w:rPr>
          <w:rFonts w:ascii="Calibri" w:hAnsi="Calibri" w:cs="Calibri"/>
          <w:color w:val="1F497D"/>
          <w:sz w:val="24"/>
          <w:szCs w:val="22"/>
          <w:lang w:eastAsia="en-US"/>
        </w:rPr>
        <w:t xml:space="preserve">ieses Projekts, dass der Nutzen </w:t>
      </w:r>
      <w:r w:rsidR="00A96EAF" w:rsidRPr="009B3960">
        <w:rPr>
          <w:rFonts w:ascii="Calibri" w:hAnsi="Calibri" w:cs="Calibri"/>
          <w:color w:val="1F497D"/>
          <w:sz w:val="24"/>
          <w:szCs w:val="22"/>
          <w:lang w:eastAsia="en-US"/>
        </w:rPr>
        <w:t>dauerhaft geringer sein wird als die investierten Kosten. Bei einer Bilanzierung von Nutzen und Kosten darf dies nicht übergangen werden.</w:t>
      </w:r>
    </w:p>
    <w:p w:rsidR="00AA6E43" w:rsidRPr="009B3960" w:rsidRDefault="00AA6E43" w:rsidP="00210144">
      <w:pPr>
        <w:pStyle w:val="Funotentext"/>
        <w:ind w:left="1080"/>
        <w:rPr>
          <w:rFonts w:ascii="Calibri" w:hAnsi="Calibri" w:cs="Calibri"/>
          <w:color w:val="1F497D"/>
          <w:sz w:val="24"/>
          <w:szCs w:val="22"/>
          <w:lang w:eastAsia="en-US"/>
        </w:rPr>
      </w:pPr>
    </w:p>
    <w:p w:rsidR="00152809" w:rsidRPr="009B3960" w:rsidRDefault="00C846B7" w:rsidP="00D46E73">
      <w:pPr>
        <w:rPr>
          <w:b/>
        </w:rPr>
      </w:pPr>
      <w:r w:rsidRPr="009B3960">
        <w:rPr>
          <w:b/>
        </w:rPr>
        <w:lastRenderedPageBreak/>
        <w:t xml:space="preserve">                                                                     </w:t>
      </w:r>
      <w:r w:rsidR="00FD35B3" w:rsidRPr="009B3960">
        <w:rPr>
          <w:b/>
        </w:rPr>
        <w:t xml:space="preserve">          </w:t>
      </w:r>
      <w:r w:rsidR="00EC66DC">
        <w:rPr>
          <w:b/>
        </w:rPr>
        <w:t xml:space="preserve">       </w:t>
      </w:r>
      <w:r w:rsidRPr="009B3960">
        <w:rPr>
          <w:b/>
        </w:rPr>
        <w:t xml:space="preserve">   IV.</w:t>
      </w:r>
    </w:p>
    <w:p w:rsidR="00442F01" w:rsidRPr="00911144" w:rsidRDefault="009B1BC3" w:rsidP="00911144">
      <w:pPr>
        <w:rPr>
          <w:sz w:val="24"/>
        </w:rPr>
      </w:pPr>
      <w:r>
        <w:rPr>
          <w:sz w:val="24"/>
        </w:rPr>
        <w:t xml:space="preserve">Mit dem Beschwerdeentscheid werden strafrechtliche Ermittlungen </w:t>
      </w:r>
      <w:r w:rsidR="00942D3E">
        <w:rPr>
          <w:sz w:val="24"/>
        </w:rPr>
        <w:t xml:space="preserve">abgelehnt </w:t>
      </w:r>
      <w:r>
        <w:rPr>
          <w:sz w:val="24"/>
        </w:rPr>
        <w:t>gegen</w:t>
      </w:r>
      <w:r w:rsidR="00942D3E">
        <w:rPr>
          <w:sz w:val="24"/>
        </w:rPr>
        <w:t>über</w:t>
      </w:r>
      <w:r>
        <w:rPr>
          <w:sz w:val="24"/>
        </w:rPr>
        <w:t xml:space="preserve"> Vorstände</w:t>
      </w:r>
      <w:r w:rsidR="00942D3E">
        <w:rPr>
          <w:sz w:val="24"/>
        </w:rPr>
        <w:t>n</w:t>
      </w:r>
      <w:r>
        <w:rPr>
          <w:sz w:val="24"/>
        </w:rPr>
        <w:t xml:space="preserve"> und Aufsich</w:t>
      </w:r>
      <w:r w:rsidR="000A1071">
        <w:rPr>
          <w:sz w:val="24"/>
        </w:rPr>
        <w:t>ts</w:t>
      </w:r>
      <w:r>
        <w:rPr>
          <w:sz w:val="24"/>
        </w:rPr>
        <w:t>räte</w:t>
      </w:r>
      <w:r w:rsidR="0049295F">
        <w:rPr>
          <w:sz w:val="24"/>
        </w:rPr>
        <w:t>n</w:t>
      </w:r>
      <w:r>
        <w:rPr>
          <w:sz w:val="24"/>
        </w:rPr>
        <w:t xml:space="preserve"> der DB AG</w:t>
      </w:r>
      <w:r w:rsidR="000A1071">
        <w:rPr>
          <w:sz w:val="24"/>
        </w:rPr>
        <w:t xml:space="preserve">, </w:t>
      </w:r>
      <w:r w:rsidR="00D46E73" w:rsidRPr="00911144">
        <w:rPr>
          <w:sz w:val="24"/>
        </w:rPr>
        <w:t xml:space="preserve">die </w:t>
      </w:r>
      <w:r w:rsidR="00442F01" w:rsidRPr="00911144">
        <w:rPr>
          <w:sz w:val="24"/>
        </w:rPr>
        <w:t>am 26.01.2018 die Erhöhung des Finanz</w:t>
      </w:r>
      <w:r w:rsidR="00942D3E">
        <w:rPr>
          <w:sz w:val="24"/>
        </w:rPr>
        <w:t>-</w:t>
      </w:r>
      <w:proofErr w:type="spellStart"/>
      <w:r w:rsidR="00442F01" w:rsidRPr="00911144">
        <w:rPr>
          <w:sz w:val="24"/>
        </w:rPr>
        <w:t>rahmens</w:t>
      </w:r>
      <w:proofErr w:type="spellEnd"/>
      <w:r w:rsidR="00442F01" w:rsidRPr="00911144">
        <w:rPr>
          <w:sz w:val="24"/>
        </w:rPr>
        <w:t xml:space="preserve"> </w:t>
      </w:r>
      <w:r w:rsidR="00D46E73" w:rsidRPr="00911144">
        <w:rPr>
          <w:sz w:val="24"/>
        </w:rPr>
        <w:t xml:space="preserve">von S 21 </w:t>
      </w:r>
      <w:r w:rsidR="00942D3E">
        <w:rPr>
          <w:sz w:val="24"/>
        </w:rPr>
        <w:t xml:space="preserve">von 6,5 </w:t>
      </w:r>
      <w:r w:rsidR="00442F01" w:rsidRPr="00911144">
        <w:rPr>
          <w:sz w:val="24"/>
        </w:rPr>
        <w:t>auf 8</w:t>
      </w:r>
      <w:r w:rsidR="00D46E73" w:rsidRPr="00911144">
        <w:rPr>
          <w:sz w:val="24"/>
        </w:rPr>
        <w:t xml:space="preserve">,2 Milliarden Euro </w:t>
      </w:r>
      <w:r w:rsidR="000A1071">
        <w:rPr>
          <w:sz w:val="24"/>
        </w:rPr>
        <w:t xml:space="preserve">herbeiführten. Dass dies wider besseres Wissen geschehen sei, erscheine schon deshalb </w:t>
      </w:r>
      <w:r w:rsidR="00442F01" w:rsidRPr="00911144">
        <w:rPr>
          <w:sz w:val="24"/>
        </w:rPr>
        <w:t xml:space="preserve"> </w:t>
      </w:r>
      <w:r w:rsidR="00FF4AFD" w:rsidRPr="00911144">
        <w:rPr>
          <w:sz w:val="24"/>
        </w:rPr>
        <w:t>„</w:t>
      </w:r>
      <w:r w:rsidR="00442F01" w:rsidRPr="00911144">
        <w:rPr>
          <w:sz w:val="24"/>
        </w:rPr>
        <w:t xml:space="preserve"> </w:t>
      </w:r>
      <w:r w:rsidR="00FF4AFD" w:rsidRPr="00911144">
        <w:rPr>
          <w:sz w:val="24"/>
        </w:rPr>
        <w:t>fe</w:t>
      </w:r>
      <w:r w:rsidR="00D46E73" w:rsidRPr="00911144">
        <w:rPr>
          <w:sz w:val="24"/>
        </w:rPr>
        <w:t>rn li</w:t>
      </w:r>
      <w:r w:rsidR="000A1071">
        <w:rPr>
          <w:sz w:val="24"/>
        </w:rPr>
        <w:t>egend</w:t>
      </w:r>
      <w:proofErr w:type="gramStart"/>
      <w:r w:rsidR="000A1071">
        <w:rPr>
          <w:sz w:val="24"/>
        </w:rPr>
        <w:t>“</w:t>
      </w:r>
      <w:r>
        <w:rPr>
          <w:sz w:val="24"/>
        </w:rPr>
        <w:t xml:space="preserve"> </w:t>
      </w:r>
      <w:r w:rsidR="000A1071">
        <w:rPr>
          <w:sz w:val="24"/>
        </w:rPr>
        <w:t>,</w:t>
      </w:r>
      <w:proofErr w:type="gramEnd"/>
      <w:r w:rsidR="000A1071">
        <w:rPr>
          <w:sz w:val="24"/>
        </w:rPr>
        <w:t xml:space="preserve"> </w:t>
      </w:r>
      <w:r w:rsidR="00D46E73" w:rsidRPr="00911144">
        <w:rPr>
          <w:sz w:val="24"/>
        </w:rPr>
        <w:t xml:space="preserve">weil </w:t>
      </w:r>
      <w:r w:rsidR="00FF4AFD" w:rsidRPr="00911144">
        <w:rPr>
          <w:sz w:val="24"/>
        </w:rPr>
        <w:t xml:space="preserve">sich </w:t>
      </w:r>
      <w:r w:rsidR="00D46E73" w:rsidRPr="00911144">
        <w:rPr>
          <w:sz w:val="24"/>
        </w:rPr>
        <w:t xml:space="preserve">die </w:t>
      </w:r>
      <w:proofErr w:type="spellStart"/>
      <w:r w:rsidR="00D46E73" w:rsidRPr="00911144">
        <w:rPr>
          <w:sz w:val="24"/>
        </w:rPr>
        <w:t>Tatverdäch</w:t>
      </w:r>
      <w:r w:rsidR="00942D3E">
        <w:rPr>
          <w:sz w:val="24"/>
        </w:rPr>
        <w:t>-</w:t>
      </w:r>
      <w:r w:rsidR="00D46E73" w:rsidRPr="00911144">
        <w:rPr>
          <w:sz w:val="24"/>
        </w:rPr>
        <w:t>tigen</w:t>
      </w:r>
      <w:proofErr w:type="spellEnd"/>
      <w:r w:rsidR="00D46E73" w:rsidRPr="00911144">
        <w:rPr>
          <w:sz w:val="24"/>
        </w:rPr>
        <w:t xml:space="preserve"> </w:t>
      </w:r>
      <w:r w:rsidR="00FF4AFD" w:rsidRPr="00911144">
        <w:rPr>
          <w:sz w:val="24"/>
        </w:rPr>
        <w:t xml:space="preserve">auf ein </w:t>
      </w:r>
      <w:r w:rsidR="000A1071">
        <w:rPr>
          <w:sz w:val="24"/>
        </w:rPr>
        <w:t>-</w:t>
      </w:r>
      <w:r w:rsidR="00FF4AFD" w:rsidRPr="00911144">
        <w:rPr>
          <w:sz w:val="24"/>
        </w:rPr>
        <w:t xml:space="preserve"> geheimes </w:t>
      </w:r>
      <w:r w:rsidR="000A1071">
        <w:rPr>
          <w:sz w:val="24"/>
        </w:rPr>
        <w:t>-</w:t>
      </w:r>
      <w:r w:rsidR="00FF4AFD" w:rsidRPr="00911144">
        <w:rPr>
          <w:sz w:val="24"/>
        </w:rPr>
        <w:t xml:space="preserve">Gutachten von </w:t>
      </w:r>
      <w:proofErr w:type="spellStart"/>
      <w:r w:rsidR="00FF4AFD" w:rsidRPr="00911144">
        <w:rPr>
          <w:sz w:val="24"/>
        </w:rPr>
        <w:t>PwC</w:t>
      </w:r>
      <w:proofErr w:type="spellEnd"/>
      <w:r w:rsidR="00FF4AFD" w:rsidRPr="00911144">
        <w:rPr>
          <w:sz w:val="24"/>
        </w:rPr>
        <w:t xml:space="preserve"> </w:t>
      </w:r>
      <w:r w:rsidR="00E5512E" w:rsidRPr="00911144">
        <w:rPr>
          <w:sz w:val="24"/>
        </w:rPr>
        <w:t xml:space="preserve">und </w:t>
      </w:r>
      <w:proofErr w:type="spellStart"/>
      <w:r w:rsidR="00E5512E" w:rsidRPr="00911144">
        <w:rPr>
          <w:sz w:val="24"/>
        </w:rPr>
        <w:t>Emch</w:t>
      </w:r>
      <w:proofErr w:type="spellEnd"/>
      <w:r w:rsidR="00E5512E" w:rsidRPr="00911144">
        <w:rPr>
          <w:sz w:val="24"/>
        </w:rPr>
        <w:t xml:space="preserve"> + Berger</w:t>
      </w:r>
      <w:r w:rsidR="00CD2791">
        <w:rPr>
          <w:sz w:val="24"/>
        </w:rPr>
        <w:t xml:space="preserve"> </w:t>
      </w:r>
      <w:r w:rsidR="00E5512E" w:rsidRPr="00911144">
        <w:rPr>
          <w:sz w:val="24"/>
        </w:rPr>
        <w:t>Holding GmbH zum Projekt Stuttgart 21</w:t>
      </w:r>
      <w:r w:rsidR="00FF4AFD" w:rsidRPr="00911144">
        <w:rPr>
          <w:sz w:val="24"/>
        </w:rPr>
        <w:t xml:space="preserve"> stützen könn</w:t>
      </w:r>
      <w:r w:rsidR="00373D8F">
        <w:rPr>
          <w:sz w:val="24"/>
        </w:rPr>
        <w:t>t</w:t>
      </w:r>
      <w:r w:rsidR="00FF4AFD" w:rsidRPr="00911144">
        <w:rPr>
          <w:sz w:val="24"/>
        </w:rPr>
        <w:t xml:space="preserve">en. </w:t>
      </w:r>
      <w:r w:rsidR="000A1071">
        <w:rPr>
          <w:sz w:val="24"/>
        </w:rPr>
        <w:t xml:space="preserve">Darauf ist näher einzugehen. </w:t>
      </w:r>
      <w:r w:rsidR="00911144">
        <w:rPr>
          <w:sz w:val="24"/>
        </w:rPr>
        <w:t>Uner</w:t>
      </w:r>
      <w:r w:rsidR="000A1071">
        <w:rPr>
          <w:sz w:val="24"/>
        </w:rPr>
        <w:t>klärlich und befremdend ist ferner</w:t>
      </w:r>
      <w:r w:rsidR="00911144">
        <w:rPr>
          <w:sz w:val="24"/>
        </w:rPr>
        <w:t>, dass der diesseitigen Strafanzeige „bloße Vermutungen“ vorgehalten werden.</w:t>
      </w:r>
      <w:r w:rsidR="000A1071">
        <w:rPr>
          <w:sz w:val="24"/>
        </w:rPr>
        <w:t xml:space="preserve"> </w:t>
      </w:r>
      <w:r w:rsidR="0049295F">
        <w:rPr>
          <w:sz w:val="24"/>
        </w:rPr>
        <w:t>In Wahrheit ist es so, dass sich der Beschwerdebescheid in diesem Punkt in Vermutungen ergeht. Denn ob die Beschuldigten, w</w:t>
      </w:r>
      <w:r w:rsidR="00373D8F">
        <w:rPr>
          <w:sz w:val="24"/>
        </w:rPr>
        <w:t>ie unterstellt wird, durch das G</w:t>
      </w:r>
      <w:r w:rsidR="0049295F">
        <w:rPr>
          <w:sz w:val="24"/>
        </w:rPr>
        <w:t xml:space="preserve">eheimgutachten überhaupt entlastet werden, hätte überprüft werden müssen. Dann aber würde sich herausstellen, dass diese Unterstellung schlicht unwahr ist.                                                   </w:t>
      </w:r>
      <w:r w:rsidR="000A1071">
        <w:rPr>
          <w:sz w:val="24"/>
        </w:rPr>
        <w:t xml:space="preserve">Ergänzend zum  Sachvortrag </w:t>
      </w:r>
      <w:r w:rsidR="00CD2791">
        <w:rPr>
          <w:sz w:val="24"/>
        </w:rPr>
        <w:t xml:space="preserve">oben I bis III </w:t>
      </w:r>
      <w:r w:rsidR="000A1071">
        <w:rPr>
          <w:sz w:val="24"/>
        </w:rPr>
        <w:t xml:space="preserve">ist </w:t>
      </w:r>
      <w:r w:rsidR="0049295F">
        <w:rPr>
          <w:sz w:val="24"/>
        </w:rPr>
        <w:t xml:space="preserve">hiernach </w:t>
      </w:r>
      <w:r w:rsidR="000A1071">
        <w:rPr>
          <w:sz w:val="24"/>
        </w:rPr>
        <w:t xml:space="preserve">auf Folgendes </w:t>
      </w:r>
      <w:r w:rsidR="00CD2791">
        <w:rPr>
          <w:sz w:val="24"/>
        </w:rPr>
        <w:t>hinzuweisen:</w:t>
      </w:r>
    </w:p>
    <w:p w:rsidR="009F1A8D" w:rsidRPr="009B3960" w:rsidRDefault="009F1A8D" w:rsidP="009F1A8D">
      <w:pPr>
        <w:pStyle w:val="Listenabsatz"/>
        <w:ind w:left="1080"/>
        <w:rPr>
          <w:sz w:val="24"/>
        </w:rPr>
      </w:pPr>
    </w:p>
    <w:p w:rsidR="000F6FA3" w:rsidRPr="00961264" w:rsidRDefault="000F6FA3" w:rsidP="00CD2791">
      <w:pPr>
        <w:pStyle w:val="Listenabsatz"/>
        <w:numPr>
          <w:ilvl w:val="0"/>
          <w:numId w:val="4"/>
        </w:numPr>
        <w:rPr>
          <w:i/>
          <w:sz w:val="24"/>
        </w:rPr>
      </w:pPr>
      <w:r>
        <w:rPr>
          <w:sz w:val="24"/>
        </w:rPr>
        <w:t>Zur</w:t>
      </w:r>
      <w:r w:rsidR="000A1071">
        <w:rPr>
          <w:sz w:val="24"/>
        </w:rPr>
        <w:t xml:space="preserve"> rechtlichen </w:t>
      </w:r>
      <w:r>
        <w:rPr>
          <w:sz w:val="24"/>
        </w:rPr>
        <w:t>Ausgangslage</w:t>
      </w:r>
      <w:r w:rsidR="000A1071">
        <w:rPr>
          <w:sz w:val="24"/>
        </w:rPr>
        <w:t xml:space="preserve"> ist beachtlich</w:t>
      </w:r>
      <w:r>
        <w:rPr>
          <w:sz w:val="24"/>
        </w:rPr>
        <w:t>: Das Bundesverfassungsgericht hat d</w:t>
      </w:r>
      <w:r w:rsidR="002B6EA0">
        <w:rPr>
          <w:sz w:val="24"/>
        </w:rPr>
        <w:t>urch Urteil vom 7.11.2017 (2BvE 2/11) betont, das parlamentarische Informationsin</w:t>
      </w:r>
      <w:r w:rsidR="000A1071">
        <w:rPr>
          <w:sz w:val="24"/>
        </w:rPr>
        <w:t>teres</w:t>
      </w:r>
      <w:r w:rsidR="002B6EA0">
        <w:rPr>
          <w:sz w:val="24"/>
        </w:rPr>
        <w:t>se und Kontrollrecht müsse aus Verfassungsgründen auch gegenüber der Deutschen Bahn AG als Staat</w:t>
      </w:r>
      <w:r>
        <w:rPr>
          <w:sz w:val="24"/>
        </w:rPr>
        <w:t>s</w:t>
      </w:r>
      <w:r w:rsidR="000A1071">
        <w:rPr>
          <w:sz w:val="24"/>
        </w:rPr>
        <w:t xml:space="preserve">konzern </w:t>
      </w:r>
      <w:r w:rsidR="002B6EA0">
        <w:rPr>
          <w:sz w:val="24"/>
        </w:rPr>
        <w:t>zur Geltung kommen (</w:t>
      </w:r>
      <w:proofErr w:type="spellStart"/>
      <w:r w:rsidR="002B6EA0">
        <w:rPr>
          <w:sz w:val="24"/>
        </w:rPr>
        <w:t>Randnrn</w:t>
      </w:r>
      <w:proofErr w:type="spellEnd"/>
      <w:r w:rsidR="002B6EA0">
        <w:rPr>
          <w:sz w:val="24"/>
        </w:rPr>
        <w:t xml:space="preserve"> 263 ff.). Die Bundesregierung kann sich </w:t>
      </w:r>
      <w:r w:rsidR="00CD2791">
        <w:rPr>
          <w:sz w:val="24"/>
        </w:rPr>
        <w:t xml:space="preserve">also </w:t>
      </w:r>
      <w:r w:rsidR="002B6EA0">
        <w:rPr>
          <w:sz w:val="24"/>
        </w:rPr>
        <w:t>nicht auf aktienrecht</w:t>
      </w:r>
      <w:r w:rsidR="000A1071">
        <w:rPr>
          <w:sz w:val="24"/>
        </w:rPr>
        <w:t>-</w:t>
      </w:r>
      <w:proofErr w:type="spellStart"/>
      <w:r w:rsidR="002B6EA0">
        <w:rPr>
          <w:sz w:val="24"/>
        </w:rPr>
        <w:t>liche</w:t>
      </w:r>
      <w:proofErr w:type="spellEnd"/>
      <w:r w:rsidR="002B6EA0">
        <w:rPr>
          <w:sz w:val="24"/>
        </w:rPr>
        <w:t xml:space="preserve"> Verschwiegenheitsverpflichtungen</w:t>
      </w:r>
      <w:r w:rsidR="000F4111">
        <w:rPr>
          <w:sz w:val="24"/>
        </w:rPr>
        <w:t xml:space="preserve"> zurückziehen</w:t>
      </w:r>
      <w:r w:rsidR="002B6EA0">
        <w:rPr>
          <w:sz w:val="24"/>
        </w:rPr>
        <w:t xml:space="preserve">, </w:t>
      </w:r>
      <w:r w:rsidR="00150139">
        <w:rPr>
          <w:sz w:val="24"/>
        </w:rPr>
        <w:t>weil</w:t>
      </w:r>
      <w:r w:rsidR="000F4111">
        <w:rPr>
          <w:sz w:val="24"/>
        </w:rPr>
        <w:t xml:space="preserve"> sie</w:t>
      </w:r>
      <w:r>
        <w:rPr>
          <w:sz w:val="24"/>
        </w:rPr>
        <w:t xml:space="preserve"> ihren Gewähr</w:t>
      </w:r>
      <w:r w:rsidR="00150139">
        <w:rPr>
          <w:sz w:val="24"/>
        </w:rPr>
        <w:t>-</w:t>
      </w:r>
      <w:r>
        <w:rPr>
          <w:sz w:val="24"/>
        </w:rPr>
        <w:t>leistungspflichten für den Ausbau und Erhalt des Schienenverkehrs nach Art. 87 e Abs. 3 und 4 GG</w:t>
      </w:r>
      <w:r w:rsidR="000F4111">
        <w:rPr>
          <w:sz w:val="24"/>
        </w:rPr>
        <w:t xml:space="preserve"> nachkommen muss</w:t>
      </w:r>
      <w:r>
        <w:rPr>
          <w:sz w:val="24"/>
        </w:rPr>
        <w:t xml:space="preserve">. Analog diesen öffentlich-rechtlichen Auskunftspflichten </w:t>
      </w:r>
      <w:r w:rsidR="00150139">
        <w:rPr>
          <w:sz w:val="24"/>
        </w:rPr>
        <w:t xml:space="preserve">sind </w:t>
      </w:r>
      <w:r>
        <w:rPr>
          <w:sz w:val="24"/>
        </w:rPr>
        <w:t xml:space="preserve">auch beachtliche </w:t>
      </w:r>
      <w:proofErr w:type="spellStart"/>
      <w:r>
        <w:rPr>
          <w:sz w:val="24"/>
        </w:rPr>
        <w:t>Jedermannsrechte</w:t>
      </w:r>
      <w:proofErr w:type="spellEnd"/>
      <w:r>
        <w:rPr>
          <w:sz w:val="24"/>
        </w:rPr>
        <w:t xml:space="preserve"> auf Inform</w:t>
      </w:r>
      <w:r w:rsidR="000F4111">
        <w:rPr>
          <w:sz w:val="24"/>
        </w:rPr>
        <w:t>ations</w:t>
      </w:r>
      <w:r w:rsidR="00150139">
        <w:rPr>
          <w:sz w:val="24"/>
        </w:rPr>
        <w:t>-</w:t>
      </w:r>
      <w:proofErr w:type="spellStart"/>
      <w:r>
        <w:rPr>
          <w:sz w:val="24"/>
        </w:rPr>
        <w:t>zugang</w:t>
      </w:r>
      <w:proofErr w:type="spellEnd"/>
      <w:r>
        <w:rPr>
          <w:sz w:val="24"/>
        </w:rPr>
        <w:t xml:space="preserve"> zu den für S 21 umweltrelevanten Fakten nach UIG</w:t>
      </w:r>
      <w:r w:rsidR="00150139">
        <w:rPr>
          <w:sz w:val="24"/>
        </w:rPr>
        <w:t xml:space="preserve"> anerkannt</w:t>
      </w:r>
      <w:r w:rsidR="00F33F6B">
        <w:rPr>
          <w:sz w:val="24"/>
        </w:rPr>
        <w:t xml:space="preserve">. Gerade </w:t>
      </w:r>
      <w:r w:rsidR="00373D8F">
        <w:rPr>
          <w:sz w:val="24"/>
        </w:rPr>
        <w:t>wenn grundlegende</w:t>
      </w:r>
      <w:r w:rsidR="00F33F6B">
        <w:rPr>
          <w:sz w:val="24"/>
        </w:rPr>
        <w:t xml:space="preserve"> Weichenstellungen für das Gemeinwesen </w:t>
      </w:r>
      <w:r w:rsidR="00373D8F">
        <w:rPr>
          <w:sz w:val="24"/>
        </w:rPr>
        <w:t>vorzubereiten und durchzuführen sind, darf sich die demokratische Teilhabe an der politischen Meinungsbildung</w:t>
      </w:r>
      <w:r w:rsidR="00F33F6B">
        <w:rPr>
          <w:sz w:val="24"/>
        </w:rPr>
        <w:t xml:space="preserve"> aus Verfassungsgründen </w:t>
      </w:r>
      <w:r w:rsidR="00373D8F">
        <w:rPr>
          <w:sz w:val="24"/>
        </w:rPr>
        <w:t xml:space="preserve">nicht im Wahlakt erschöpfen, sondern muss </w:t>
      </w:r>
      <w:r w:rsidR="00961264">
        <w:rPr>
          <w:sz w:val="24"/>
        </w:rPr>
        <w:t xml:space="preserve">zur Einflussnahme auf den ständigen Prozess dieser  Meinungsbildung </w:t>
      </w:r>
      <w:r w:rsidR="00F33F6B">
        <w:rPr>
          <w:sz w:val="24"/>
        </w:rPr>
        <w:t xml:space="preserve">fundierte Informationen </w:t>
      </w:r>
      <w:r w:rsidR="00961264">
        <w:rPr>
          <w:sz w:val="24"/>
        </w:rPr>
        <w:t xml:space="preserve">zugänglich machen, die nach UIG </w:t>
      </w:r>
      <w:r w:rsidR="00150139">
        <w:rPr>
          <w:sz w:val="24"/>
        </w:rPr>
        <w:t xml:space="preserve">eröffnet </w:t>
      </w:r>
      <w:r w:rsidR="00961264">
        <w:rPr>
          <w:sz w:val="24"/>
        </w:rPr>
        <w:t xml:space="preserve">sind </w:t>
      </w:r>
      <w:r w:rsidR="00F33F6B">
        <w:rPr>
          <w:sz w:val="24"/>
        </w:rPr>
        <w:t xml:space="preserve">(vgl. BVerwG, Urteil vom 3.11.2011, 7 C 3/11, </w:t>
      </w:r>
      <w:proofErr w:type="spellStart"/>
      <w:r w:rsidR="00F33F6B">
        <w:rPr>
          <w:sz w:val="24"/>
        </w:rPr>
        <w:t>juris</w:t>
      </w:r>
      <w:proofErr w:type="spellEnd"/>
      <w:r w:rsidR="00F33F6B">
        <w:rPr>
          <w:sz w:val="24"/>
        </w:rPr>
        <w:t xml:space="preserve"> </w:t>
      </w:r>
      <w:proofErr w:type="spellStart"/>
      <w:r w:rsidR="00F33F6B">
        <w:rPr>
          <w:sz w:val="24"/>
        </w:rPr>
        <w:t>Rn</w:t>
      </w:r>
      <w:proofErr w:type="spellEnd"/>
      <w:r w:rsidR="00F33F6B">
        <w:rPr>
          <w:sz w:val="24"/>
        </w:rPr>
        <w:t xml:space="preserve"> 20</w:t>
      </w:r>
      <w:r w:rsidR="00150139">
        <w:rPr>
          <w:sz w:val="24"/>
        </w:rPr>
        <w:t xml:space="preserve"> sowie BVerfG, Urteil vom 3.03.2009, 2 </w:t>
      </w:r>
      <w:proofErr w:type="spellStart"/>
      <w:r w:rsidR="00150139">
        <w:rPr>
          <w:sz w:val="24"/>
        </w:rPr>
        <w:t>BvC</w:t>
      </w:r>
      <w:proofErr w:type="spellEnd"/>
      <w:r w:rsidR="00150139">
        <w:rPr>
          <w:sz w:val="24"/>
        </w:rPr>
        <w:t xml:space="preserve"> 3/07, 2 </w:t>
      </w:r>
      <w:proofErr w:type="spellStart"/>
      <w:r w:rsidR="00150139">
        <w:rPr>
          <w:sz w:val="24"/>
        </w:rPr>
        <w:t>BvC</w:t>
      </w:r>
      <w:proofErr w:type="spellEnd"/>
      <w:r w:rsidR="00150139">
        <w:rPr>
          <w:sz w:val="24"/>
        </w:rPr>
        <w:t xml:space="preserve"> 4/07). Erst </w:t>
      </w:r>
      <w:r w:rsidR="00961264">
        <w:rPr>
          <w:sz w:val="24"/>
        </w:rPr>
        <w:t>recht muss die Strafverfolgungs</w:t>
      </w:r>
      <w:r w:rsidR="00150139">
        <w:rPr>
          <w:sz w:val="24"/>
        </w:rPr>
        <w:t xml:space="preserve">behörde zur Wahrung ihrer Kontrollaufgabe ermittelnd auf das geheime </w:t>
      </w:r>
      <w:proofErr w:type="spellStart"/>
      <w:r w:rsidR="00150139">
        <w:rPr>
          <w:sz w:val="24"/>
        </w:rPr>
        <w:t>PwC</w:t>
      </w:r>
      <w:proofErr w:type="spellEnd"/>
      <w:r w:rsidR="00150139">
        <w:rPr>
          <w:sz w:val="24"/>
        </w:rPr>
        <w:t>-Gutachten zugreifen.</w:t>
      </w:r>
    </w:p>
    <w:p w:rsidR="00961264" w:rsidRPr="000F6FA3" w:rsidRDefault="00961264" w:rsidP="00961264">
      <w:pPr>
        <w:pStyle w:val="Listenabsatz"/>
        <w:ind w:left="1440"/>
        <w:rPr>
          <w:i/>
          <w:sz w:val="24"/>
        </w:rPr>
      </w:pPr>
    </w:p>
    <w:p w:rsidR="00961264" w:rsidRPr="003C4E3A" w:rsidRDefault="0075340B" w:rsidP="003C4E3A">
      <w:pPr>
        <w:pStyle w:val="Listenabsatz"/>
        <w:numPr>
          <w:ilvl w:val="0"/>
          <w:numId w:val="4"/>
        </w:numPr>
        <w:rPr>
          <w:i/>
          <w:sz w:val="24"/>
          <w:u w:val="single"/>
        </w:rPr>
      </w:pPr>
      <w:r w:rsidRPr="009B3960">
        <w:rPr>
          <w:sz w:val="24"/>
        </w:rPr>
        <w:t xml:space="preserve">Auf Seite 2 </w:t>
      </w:r>
      <w:r w:rsidR="0024246D" w:rsidRPr="009B3960">
        <w:rPr>
          <w:sz w:val="24"/>
        </w:rPr>
        <w:t xml:space="preserve">Ziffer 2 </w:t>
      </w:r>
      <w:r w:rsidRPr="009B3960">
        <w:rPr>
          <w:sz w:val="24"/>
        </w:rPr>
        <w:t>des diesseitigen Schriftsatzes</w:t>
      </w:r>
      <w:r w:rsidR="0024246D" w:rsidRPr="009B3960">
        <w:rPr>
          <w:sz w:val="24"/>
        </w:rPr>
        <w:t xml:space="preserve"> vom 30.05.2018</w:t>
      </w:r>
      <w:r w:rsidRPr="009B3960">
        <w:rPr>
          <w:sz w:val="24"/>
        </w:rPr>
        <w:t xml:space="preserve"> ist wieder</w:t>
      </w:r>
      <w:r w:rsidR="00EC66DC">
        <w:rPr>
          <w:sz w:val="24"/>
        </w:rPr>
        <w:t>-</w:t>
      </w:r>
      <w:r w:rsidRPr="009B3960">
        <w:rPr>
          <w:sz w:val="24"/>
        </w:rPr>
        <w:t xml:space="preserve">gegeben, unter welchen einschränkenden </w:t>
      </w:r>
      <w:r w:rsidR="00CD2791">
        <w:rPr>
          <w:sz w:val="24"/>
        </w:rPr>
        <w:t xml:space="preserve">Bedingungen </w:t>
      </w:r>
      <w:proofErr w:type="spellStart"/>
      <w:r w:rsidR="00CD2791">
        <w:rPr>
          <w:sz w:val="24"/>
        </w:rPr>
        <w:t>PwC</w:t>
      </w:r>
      <w:proofErr w:type="spellEnd"/>
      <w:r w:rsidR="00CD2791">
        <w:rPr>
          <w:sz w:val="24"/>
        </w:rPr>
        <w:t xml:space="preserve"> </w:t>
      </w:r>
      <w:r w:rsidRPr="009B3960">
        <w:rPr>
          <w:sz w:val="24"/>
        </w:rPr>
        <w:t xml:space="preserve">zur eigenen Absicherung schon 2013 Plausibilitätsgutachten </w:t>
      </w:r>
      <w:r w:rsidR="005E720E" w:rsidRPr="009B3960">
        <w:rPr>
          <w:sz w:val="24"/>
        </w:rPr>
        <w:t>zu Stutt</w:t>
      </w:r>
      <w:r w:rsidR="009C2517">
        <w:rPr>
          <w:sz w:val="24"/>
        </w:rPr>
        <w:t xml:space="preserve">gart 21 erstellt hat, als es um eine bedeutende Weichenstellung für den </w:t>
      </w:r>
      <w:r w:rsidR="004E6848">
        <w:rPr>
          <w:sz w:val="24"/>
        </w:rPr>
        <w:t>B</w:t>
      </w:r>
      <w:r w:rsidR="009C2517">
        <w:rPr>
          <w:sz w:val="24"/>
        </w:rPr>
        <w:t>ahnkonzern ging.</w:t>
      </w:r>
      <w:r w:rsidR="005E720E" w:rsidRPr="009B3960">
        <w:rPr>
          <w:sz w:val="24"/>
        </w:rPr>
        <w:t xml:space="preserve"> Auszugsweise werden Seite 9 bis 11 dieses Auftragsgutachtens </w:t>
      </w:r>
      <w:r w:rsidR="009B7664" w:rsidRPr="009B3960">
        <w:rPr>
          <w:sz w:val="24"/>
        </w:rPr>
        <w:t xml:space="preserve">als </w:t>
      </w:r>
      <w:r w:rsidR="009B7664" w:rsidRPr="000F4111">
        <w:rPr>
          <w:sz w:val="24"/>
          <w:u w:val="single"/>
        </w:rPr>
        <w:t xml:space="preserve">Anlage </w:t>
      </w:r>
      <w:r w:rsidR="009B7664" w:rsidRPr="009B3960">
        <w:rPr>
          <w:sz w:val="24"/>
        </w:rPr>
        <w:t>übermittelt, wobei auf Seite 10 Absatz 1 das „</w:t>
      </w:r>
      <w:r w:rsidR="009B7664" w:rsidRPr="00CD2791">
        <w:rPr>
          <w:i/>
          <w:sz w:val="24"/>
          <w:u w:val="single"/>
        </w:rPr>
        <w:t>höhere Risiko</w:t>
      </w:r>
      <w:r w:rsidR="009B7664" w:rsidRPr="009B3960">
        <w:rPr>
          <w:sz w:val="24"/>
        </w:rPr>
        <w:t>“ beschrieben wird, dass</w:t>
      </w:r>
      <w:r w:rsidR="00C846B7" w:rsidRPr="009B3960">
        <w:rPr>
          <w:sz w:val="24"/>
        </w:rPr>
        <w:t xml:space="preserve"> </w:t>
      </w:r>
      <w:r w:rsidR="009B7664" w:rsidRPr="009B3960">
        <w:rPr>
          <w:sz w:val="24"/>
        </w:rPr>
        <w:t xml:space="preserve"> „</w:t>
      </w:r>
      <w:r w:rsidR="009B7664" w:rsidRPr="00CD2791">
        <w:rPr>
          <w:i/>
          <w:sz w:val="24"/>
          <w:u w:val="single"/>
        </w:rPr>
        <w:t>selbst wesentliche Fehler, rechtswidrige Handlungen</w:t>
      </w:r>
      <w:r w:rsidR="009B7664" w:rsidRPr="009B3960">
        <w:rPr>
          <w:i/>
          <w:sz w:val="24"/>
        </w:rPr>
        <w:t xml:space="preserve"> </w:t>
      </w:r>
      <w:r w:rsidR="009B7664" w:rsidRPr="00CD2791">
        <w:rPr>
          <w:i/>
          <w:sz w:val="24"/>
          <w:u w:val="single"/>
        </w:rPr>
        <w:t xml:space="preserve">oder andere </w:t>
      </w:r>
      <w:r w:rsidR="009B7664" w:rsidRPr="00CD2791">
        <w:rPr>
          <w:i/>
          <w:sz w:val="24"/>
          <w:u w:val="single"/>
        </w:rPr>
        <w:lastRenderedPageBreak/>
        <w:t>Unregelmäßigkeiten nicht aufgedeckt werden</w:t>
      </w:r>
      <w:r w:rsidR="009B7664" w:rsidRPr="009B3960">
        <w:rPr>
          <w:i/>
          <w:sz w:val="24"/>
        </w:rPr>
        <w:t>“.</w:t>
      </w:r>
      <w:r w:rsidR="00C846B7" w:rsidRPr="009B3960">
        <w:rPr>
          <w:i/>
          <w:sz w:val="24"/>
        </w:rPr>
        <w:t xml:space="preserve"> </w:t>
      </w:r>
      <w:r w:rsidR="009C2517">
        <w:rPr>
          <w:sz w:val="24"/>
        </w:rPr>
        <w:t>Das geschah damals bereits entgegen den Grundsätzen des Risikomanagements der DB AG für Groß-</w:t>
      </w:r>
      <w:proofErr w:type="spellStart"/>
      <w:r w:rsidR="009C2517">
        <w:rPr>
          <w:sz w:val="24"/>
        </w:rPr>
        <w:t>projekte</w:t>
      </w:r>
      <w:proofErr w:type="spellEnd"/>
      <w:r w:rsidR="009C2517">
        <w:rPr>
          <w:sz w:val="24"/>
        </w:rPr>
        <w:t xml:space="preserve"> (siehe Gutachten Prof. Bülte, S. 10 f. mit Anlage 20, ZEIT-Bericht). </w:t>
      </w:r>
    </w:p>
    <w:p w:rsidR="00961264" w:rsidRPr="00961264" w:rsidRDefault="00961264" w:rsidP="00961264">
      <w:pPr>
        <w:pStyle w:val="Listenabsatz"/>
        <w:ind w:left="1440"/>
        <w:rPr>
          <w:sz w:val="24"/>
        </w:rPr>
      </w:pPr>
      <w:r>
        <w:rPr>
          <w:sz w:val="24"/>
        </w:rPr>
        <w:t>Daher führt Prof. Bülte (S. 18) aus:</w:t>
      </w:r>
    </w:p>
    <w:p w:rsidR="00961264" w:rsidRPr="003C4E3A" w:rsidRDefault="009C2517" w:rsidP="003C4E3A">
      <w:pPr>
        <w:pStyle w:val="Listenabsatz"/>
        <w:ind w:left="1440"/>
        <w:rPr>
          <w:i/>
        </w:rPr>
      </w:pPr>
      <w:r w:rsidRPr="009C2517">
        <w:rPr>
          <w:i/>
        </w:rPr>
        <w:t xml:space="preserve">„Die Plausibilitätsbegutachtung von </w:t>
      </w:r>
      <w:proofErr w:type="spellStart"/>
      <w:r w:rsidRPr="009C2517">
        <w:rPr>
          <w:i/>
        </w:rPr>
        <w:t>PwC</w:t>
      </w:r>
      <w:proofErr w:type="spellEnd"/>
      <w:r w:rsidRPr="009C2517">
        <w:rPr>
          <w:i/>
        </w:rPr>
        <w:t xml:space="preserve"> bestätigt den starken Verdacht, dass die Entscheidung des Aufsichtsrats unter Inkaufnahme eines nicht mehr kalkulierbaren </w:t>
      </w:r>
      <w:r w:rsidR="00961264">
        <w:rPr>
          <w:i/>
        </w:rPr>
        <w:t>Risikos getroffen wurde.“</w:t>
      </w:r>
    </w:p>
    <w:p w:rsidR="009F1A8D" w:rsidRDefault="0024246D" w:rsidP="00961264">
      <w:pPr>
        <w:pStyle w:val="Listenabsatz"/>
        <w:ind w:left="1440"/>
        <w:rPr>
          <w:sz w:val="24"/>
          <w:u w:val="single"/>
        </w:rPr>
      </w:pPr>
      <w:r w:rsidRPr="009B3960">
        <w:rPr>
          <w:sz w:val="24"/>
        </w:rPr>
        <w:t xml:space="preserve">Nichts Anderes wird auch die Grundlage des </w:t>
      </w:r>
      <w:r w:rsidR="00F03B95">
        <w:rPr>
          <w:sz w:val="24"/>
        </w:rPr>
        <w:t xml:space="preserve">strittigen </w:t>
      </w:r>
      <w:r w:rsidRPr="009B3960">
        <w:rPr>
          <w:sz w:val="24"/>
        </w:rPr>
        <w:t xml:space="preserve">Geheimgutachtens sein. Das </w:t>
      </w:r>
      <w:proofErr w:type="spellStart"/>
      <w:r w:rsidR="00CD27FC" w:rsidRPr="000F6FA3">
        <w:rPr>
          <w:sz w:val="24"/>
          <w:u w:val="single"/>
        </w:rPr>
        <w:t>PwC</w:t>
      </w:r>
      <w:proofErr w:type="spellEnd"/>
      <w:r w:rsidR="00CD27FC" w:rsidRPr="000F6FA3">
        <w:rPr>
          <w:sz w:val="24"/>
          <w:u w:val="single"/>
        </w:rPr>
        <w:t>-Gutachten basiert mithin auf Vorgaben des Auftraggebers und ist hiernach ein</w:t>
      </w:r>
      <w:r w:rsidR="00CD27FC" w:rsidRPr="009B3960">
        <w:rPr>
          <w:sz w:val="24"/>
        </w:rPr>
        <w:t xml:space="preserve"> </w:t>
      </w:r>
      <w:r w:rsidR="00CD27FC" w:rsidRPr="000F6FA3">
        <w:rPr>
          <w:sz w:val="24"/>
          <w:u w:val="single"/>
        </w:rPr>
        <w:t xml:space="preserve">Parteigutachten, das auf Plausibilität begrenzt </w:t>
      </w:r>
      <w:r w:rsidR="006D49BE" w:rsidRPr="000F6FA3">
        <w:rPr>
          <w:sz w:val="24"/>
          <w:u w:val="single"/>
        </w:rPr>
        <w:t xml:space="preserve">ist </w:t>
      </w:r>
      <w:r w:rsidR="00CD27FC" w:rsidRPr="000F6FA3">
        <w:rPr>
          <w:sz w:val="24"/>
          <w:u w:val="single"/>
        </w:rPr>
        <w:t>und nicht unabhängig</w:t>
      </w:r>
      <w:r w:rsidR="006D49BE" w:rsidRPr="000F6FA3">
        <w:rPr>
          <w:sz w:val="24"/>
          <w:u w:val="single"/>
        </w:rPr>
        <w:t>e Prüfungen maßgeblicher Tatsachen vorgenommen hat.</w:t>
      </w:r>
    </w:p>
    <w:p w:rsidR="00961264" w:rsidRPr="00961264" w:rsidRDefault="00961264" w:rsidP="00961264">
      <w:pPr>
        <w:pStyle w:val="Listenabsatz"/>
        <w:ind w:left="1440"/>
        <w:rPr>
          <w:i/>
          <w:sz w:val="24"/>
          <w:u w:val="single"/>
        </w:rPr>
      </w:pPr>
    </w:p>
    <w:p w:rsidR="00CD2791" w:rsidRDefault="006D49BE" w:rsidP="00CD2791">
      <w:pPr>
        <w:pStyle w:val="Listenabsatz"/>
        <w:numPr>
          <w:ilvl w:val="0"/>
          <w:numId w:val="4"/>
        </w:numPr>
        <w:rPr>
          <w:sz w:val="24"/>
        </w:rPr>
      </w:pPr>
      <w:r w:rsidRPr="001A5288">
        <w:rPr>
          <w:sz w:val="24"/>
        </w:rPr>
        <w:t xml:space="preserve">Die vom Auftraggeber DB AG </w:t>
      </w:r>
      <w:r w:rsidR="00F03B95">
        <w:rPr>
          <w:sz w:val="24"/>
        </w:rPr>
        <w:t xml:space="preserve">festgelegte </w:t>
      </w:r>
      <w:r w:rsidRPr="001A5288">
        <w:rPr>
          <w:sz w:val="24"/>
        </w:rPr>
        <w:t xml:space="preserve">Geheimhaltung des </w:t>
      </w:r>
      <w:proofErr w:type="spellStart"/>
      <w:r w:rsidRPr="001A5288">
        <w:rPr>
          <w:sz w:val="24"/>
        </w:rPr>
        <w:t>PwC</w:t>
      </w:r>
      <w:proofErr w:type="spellEnd"/>
      <w:r w:rsidRPr="001A5288">
        <w:rPr>
          <w:sz w:val="24"/>
        </w:rPr>
        <w:t>-Gutachtens  ist ein Akt, der sich verdunkelnd der Überprüfung entzieht</w:t>
      </w:r>
      <w:r w:rsidR="00F03B95">
        <w:rPr>
          <w:sz w:val="24"/>
        </w:rPr>
        <w:t>.</w:t>
      </w:r>
      <w:r w:rsidR="00731285">
        <w:rPr>
          <w:sz w:val="24"/>
        </w:rPr>
        <w:t xml:space="preserve"> Genau das muss als weiterer Anhaltspunkt dafür gelten, dass der falsche Anschein einer unabhängigen externen Begutachtung erweckt werden soll, um die Kontrolle zur Wahrung öffentlicher Interessen zu vereiteln. Die</w:t>
      </w:r>
      <w:r w:rsidR="004E6848">
        <w:rPr>
          <w:sz w:val="24"/>
        </w:rPr>
        <w:t xml:space="preserve">s ist durchschaubar. </w:t>
      </w:r>
      <w:r w:rsidR="00731285">
        <w:rPr>
          <w:sz w:val="24"/>
        </w:rPr>
        <w:t xml:space="preserve"> </w:t>
      </w:r>
      <w:r w:rsidRPr="001A5288">
        <w:rPr>
          <w:sz w:val="24"/>
          <w:u w:val="single"/>
        </w:rPr>
        <w:t>Gerade angesichts der traditionsreichen Methode der DB AG von „</w:t>
      </w:r>
      <w:proofErr w:type="spellStart"/>
      <w:r w:rsidRPr="001A5288">
        <w:rPr>
          <w:sz w:val="24"/>
          <w:u w:val="single"/>
        </w:rPr>
        <w:t>Herunterreden</w:t>
      </w:r>
      <w:proofErr w:type="spellEnd"/>
      <w:r w:rsidRPr="001A5288">
        <w:rPr>
          <w:sz w:val="24"/>
          <w:u w:val="single"/>
        </w:rPr>
        <w:t xml:space="preserve"> und Verschweigen von Fakten und Risiken“</w:t>
      </w:r>
      <w:r w:rsidRPr="001A5288">
        <w:rPr>
          <w:sz w:val="24"/>
        </w:rPr>
        <w:t xml:space="preserve"> (Dr. Hartmut Bäumer) </w:t>
      </w:r>
      <w:r w:rsidRPr="000F4111">
        <w:rPr>
          <w:sz w:val="24"/>
          <w:u w:val="single"/>
        </w:rPr>
        <w:t xml:space="preserve">und von „völlig irrationalen Gründen“ </w:t>
      </w:r>
      <w:r w:rsidR="0024246D" w:rsidRPr="000F4111">
        <w:rPr>
          <w:sz w:val="24"/>
          <w:u w:val="single"/>
        </w:rPr>
        <w:t>für ein</w:t>
      </w:r>
      <w:r w:rsidR="0024246D" w:rsidRPr="001A5288">
        <w:rPr>
          <w:sz w:val="24"/>
        </w:rPr>
        <w:t xml:space="preserve"> </w:t>
      </w:r>
      <w:r w:rsidR="0024246D" w:rsidRPr="000F4111">
        <w:rPr>
          <w:sz w:val="24"/>
          <w:u w:val="single"/>
        </w:rPr>
        <w:t>„politisches Lieblingsprojekt“</w:t>
      </w:r>
      <w:r w:rsidR="0024246D" w:rsidRPr="001A5288">
        <w:rPr>
          <w:sz w:val="24"/>
        </w:rPr>
        <w:t xml:space="preserve"> </w:t>
      </w:r>
      <w:r w:rsidRPr="001A5288">
        <w:rPr>
          <w:sz w:val="24"/>
        </w:rPr>
        <w:t xml:space="preserve">(Dr. Thilo </w:t>
      </w:r>
      <w:proofErr w:type="spellStart"/>
      <w:r w:rsidRPr="001A5288">
        <w:rPr>
          <w:sz w:val="24"/>
        </w:rPr>
        <w:t>Sarrazin</w:t>
      </w:r>
      <w:proofErr w:type="spellEnd"/>
      <w:r w:rsidRPr="001A5288">
        <w:rPr>
          <w:sz w:val="24"/>
        </w:rPr>
        <w:t>)</w:t>
      </w:r>
      <w:r w:rsidR="0024246D" w:rsidRPr="001A5288">
        <w:rPr>
          <w:sz w:val="24"/>
        </w:rPr>
        <w:t xml:space="preserve">, das Stuttgart 21 darstellt </w:t>
      </w:r>
      <w:r w:rsidRPr="001A5288">
        <w:rPr>
          <w:sz w:val="24"/>
        </w:rPr>
        <w:t xml:space="preserve"> – siehe den Sachvortrag </w:t>
      </w:r>
      <w:r w:rsidR="000321CD" w:rsidRPr="001A5288">
        <w:rPr>
          <w:sz w:val="24"/>
        </w:rPr>
        <w:t xml:space="preserve">oben unter III </w:t>
      </w:r>
      <w:r w:rsidR="00B808E2" w:rsidRPr="001A5288">
        <w:rPr>
          <w:sz w:val="24"/>
        </w:rPr>
        <w:t xml:space="preserve">und den Schriftsatz vom 14.06.2018 Seite 2 -  </w:t>
      </w:r>
      <w:r w:rsidR="004E6848">
        <w:rPr>
          <w:sz w:val="24"/>
        </w:rPr>
        <w:t xml:space="preserve">sind </w:t>
      </w:r>
      <w:r w:rsidR="001A5288" w:rsidRPr="001A5288">
        <w:rPr>
          <w:sz w:val="24"/>
        </w:rPr>
        <w:t xml:space="preserve">Ermittlungen wegen Tatverdachts der Untreue </w:t>
      </w:r>
      <w:r w:rsidR="004E6848">
        <w:rPr>
          <w:sz w:val="24"/>
        </w:rPr>
        <w:t xml:space="preserve">dringend </w:t>
      </w:r>
      <w:r w:rsidR="001A5288" w:rsidRPr="001A5288">
        <w:rPr>
          <w:sz w:val="24"/>
        </w:rPr>
        <w:t>auf</w:t>
      </w:r>
      <w:r w:rsidR="00731285">
        <w:rPr>
          <w:sz w:val="24"/>
        </w:rPr>
        <w:t>zu</w:t>
      </w:r>
      <w:r w:rsidR="001A5288" w:rsidRPr="001A5288">
        <w:rPr>
          <w:sz w:val="24"/>
        </w:rPr>
        <w:t xml:space="preserve">nehmen. </w:t>
      </w:r>
    </w:p>
    <w:p w:rsidR="00CD2791" w:rsidRPr="00CD2791" w:rsidRDefault="00CD2791" w:rsidP="00CD2791">
      <w:pPr>
        <w:pStyle w:val="Listenabsatz"/>
        <w:rPr>
          <w:sz w:val="24"/>
        </w:rPr>
      </w:pPr>
    </w:p>
    <w:p w:rsidR="0024246D" w:rsidRPr="009B3960" w:rsidRDefault="0024246D" w:rsidP="006D49BE">
      <w:pPr>
        <w:pStyle w:val="Listenabsatz"/>
        <w:numPr>
          <w:ilvl w:val="0"/>
          <w:numId w:val="4"/>
        </w:numPr>
        <w:rPr>
          <w:sz w:val="24"/>
        </w:rPr>
      </w:pPr>
      <w:r w:rsidRPr="009B3960">
        <w:rPr>
          <w:sz w:val="24"/>
        </w:rPr>
        <w:t xml:space="preserve">Dies muss umso mehr gelten, als die </w:t>
      </w:r>
      <w:proofErr w:type="spellStart"/>
      <w:r w:rsidRPr="009B3960">
        <w:rPr>
          <w:sz w:val="24"/>
        </w:rPr>
        <w:t>Anzeigeerstat</w:t>
      </w:r>
      <w:r w:rsidR="001A5288">
        <w:rPr>
          <w:sz w:val="24"/>
        </w:rPr>
        <w:t>ter</w:t>
      </w:r>
      <w:proofErr w:type="spellEnd"/>
      <w:r w:rsidR="001A5288">
        <w:rPr>
          <w:sz w:val="24"/>
        </w:rPr>
        <w:t xml:space="preserve">  in den vorgelegten Schrift</w:t>
      </w:r>
      <w:r w:rsidRPr="009B3960">
        <w:rPr>
          <w:sz w:val="24"/>
        </w:rPr>
        <w:t xml:space="preserve">sätzen </w:t>
      </w:r>
      <w:r w:rsidR="000F4111">
        <w:rPr>
          <w:sz w:val="24"/>
        </w:rPr>
        <w:t xml:space="preserve">der Neuanzeige und im Zuge der Beschwerde gegen den Ablehnungsbescheid vom 19.02.2018 </w:t>
      </w:r>
      <w:r w:rsidRPr="009B3960">
        <w:rPr>
          <w:sz w:val="24"/>
        </w:rPr>
        <w:t xml:space="preserve">mit Akribie alles Andere als nur Vermutungen angestellt haben, </w:t>
      </w:r>
      <w:r w:rsidR="000F419B" w:rsidRPr="009B3960">
        <w:rPr>
          <w:sz w:val="24"/>
        </w:rPr>
        <w:t>wie im Beschwerdebescheid fälschlich die Fakten übersehend erklärt wird:</w:t>
      </w:r>
    </w:p>
    <w:p w:rsidR="000F419B" w:rsidRPr="00CD2791" w:rsidRDefault="000F419B" w:rsidP="00CD2791">
      <w:pPr>
        <w:pStyle w:val="Listenabsatz"/>
        <w:numPr>
          <w:ilvl w:val="0"/>
          <w:numId w:val="5"/>
        </w:numPr>
        <w:rPr>
          <w:sz w:val="24"/>
        </w:rPr>
      </w:pPr>
      <w:r w:rsidRPr="00CD2791">
        <w:rPr>
          <w:sz w:val="24"/>
        </w:rPr>
        <w:t xml:space="preserve">Bereits </w:t>
      </w:r>
      <w:r w:rsidRPr="00CD2791">
        <w:rPr>
          <w:sz w:val="24"/>
          <w:u w:val="single"/>
        </w:rPr>
        <w:t>in der Beschwerdebegründung vom 23.04.2018 wird auf Seiten 1 bis 3 die Auskunft der DB AG und der Bundesregierung Drucksache 19/779 ausgewertet,</w:t>
      </w:r>
      <w:r w:rsidRPr="00CD2791">
        <w:rPr>
          <w:sz w:val="24"/>
        </w:rPr>
        <w:t xml:space="preserve"> </w:t>
      </w:r>
      <w:r w:rsidRPr="00CD2791">
        <w:rPr>
          <w:sz w:val="24"/>
          <w:u w:val="single"/>
        </w:rPr>
        <w:t>ohne dass der Beschwerdeentscheid auf die diesseits nachgewiesenen falschen</w:t>
      </w:r>
      <w:r w:rsidRPr="00CD2791">
        <w:rPr>
          <w:sz w:val="24"/>
        </w:rPr>
        <w:t xml:space="preserve"> </w:t>
      </w:r>
      <w:r w:rsidRPr="00CD2791">
        <w:rPr>
          <w:sz w:val="24"/>
          <w:u w:val="single"/>
        </w:rPr>
        <w:t>Angaben mit einem W</w:t>
      </w:r>
      <w:r w:rsidR="003A1DCA" w:rsidRPr="00CD2791">
        <w:rPr>
          <w:sz w:val="24"/>
          <w:u w:val="single"/>
        </w:rPr>
        <w:t>ort eingeht</w:t>
      </w:r>
      <w:r w:rsidR="003A1DCA" w:rsidRPr="00CD2791">
        <w:rPr>
          <w:sz w:val="24"/>
        </w:rPr>
        <w:t xml:space="preserve">. </w:t>
      </w:r>
      <w:r w:rsidR="001A5288" w:rsidRPr="00CD2791">
        <w:rPr>
          <w:sz w:val="24"/>
        </w:rPr>
        <w:t>Die Rechts</w:t>
      </w:r>
      <w:r w:rsidR="00911144" w:rsidRPr="00CD2791">
        <w:rPr>
          <w:sz w:val="24"/>
        </w:rPr>
        <w:t>-</w:t>
      </w:r>
      <w:proofErr w:type="spellStart"/>
      <w:r w:rsidR="001A5288" w:rsidRPr="00CD2791">
        <w:rPr>
          <w:sz w:val="24"/>
        </w:rPr>
        <w:t>aufsicht</w:t>
      </w:r>
      <w:proofErr w:type="spellEnd"/>
      <w:r w:rsidR="001A5288" w:rsidRPr="00CD2791">
        <w:rPr>
          <w:sz w:val="24"/>
        </w:rPr>
        <w:t xml:space="preserve"> darf solche </w:t>
      </w:r>
      <w:r w:rsidR="001A5288" w:rsidRPr="00CD2791">
        <w:rPr>
          <w:sz w:val="24"/>
          <w:u w:val="single"/>
        </w:rPr>
        <w:t>Blo</w:t>
      </w:r>
      <w:r w:rsidR="00911144" w:rsidRPr="00CD2791">
        <w:rPr>
          <w:sz w:val="24"/>
          <w:u w:val="single"/>
        </w:rPr>
        <w:t>c</w:t>
      </w:r>
      <w:r w:rsidR="001A5288" w:rsidRPr="00CD2791">
        <w:rPr>
          <w:sz w:val="24"/>
          <w:u w:val="single"/>
        </w:rPr>
        <w:t>kade der Tatsachenauswertung</w:t>
      </w:r>
      <w:r w:rsidR="001A5288" w:rsidRPr="00CD2791">
        <w:rPr>
          <w:sz w:val="24"/>
        </w:rPr>
        <w:t xml:space="preserve"> </w:t>
      </w:r>
      <w:r w:rsidR="00731285">
        <w:rPr>
          <w:sz w:val="24"/>
        </w:rPr>
        <w:t xml:space="preserve">nicht </w:t>
      </w:r>
      <w:r w:rsidR="001A5288" w:rsidRPr="00CD2791">
        <w:rPr>
          <w:sz w:val="24"/>
        </w:rPr>
        <w:t>zulassen. D</w:t>
      </w:r>
      <w:r w:rsidR="003A1DCA" w:rsidRPr="00CD2791">
        <w:rPr>
          <w:sz w:val="24"/>
        </w:rPr>
        <w:t>ies</w:t>
      </w:r>
      <w:r w:rsidR="001A5288" w:rsidRPr="00CD2791">
        <w:rPr>
          <w:sz w:val="24"/>
        </w:rPr>
        <w:t xml:space="preserve"> umso weniger</w:t>
      </w:r>
      <w:r w:rsidR="003A1DCA" w:rsidRPr="00CD2791">
        <w:rPr>
          <w:sz w:val="24"/>
        </w:rPr>
        <w:t>,</w:t>
      </w:r>
      <w:r w:rsidR="001A5288" w:rsidRPr="00CD2791">
        <w:rPr>
          <w:sz w:val="24"/>
        </w:rPr>
        <w:t xml:space="preserve"> als </w:t>
      </w:r>
      <w:r w:rsidRPr="00CD2791">
        <w:rPr>
          <w:sz w:val="24"/>
        </w:rPr>
        <w:t xml:space="preserve">die Berechnung der Ausstiegskosten unhaltbar </w:t>
      </w:r>
      <w:r w:rsidR="00DD5496" w:rsidRPr="00CD2791">
        <w:rPr>
          <w:sz w:val="24"/>
        </w:rPr>
        <w:t xml:space="preserve">den gar nicht in </w:t>
      </w:r>
      <w:r w:rsidR="001A5288" w:rsidRPr="00CD2791">
        <w:rPr>
          <w:sz w:val="24"/>
        </w:rPr>
        <w:t>Frage stehenden Abbruch der Neu</w:t>
      </w:r>
      <w:r w:rsidR="00DD5496" w:rsidRPr="00CD2791">
        <w:rPr>
          <w:sz w:val="24"/>
        </w:rPr>
        <w:t>baustrecke Wendlingen-Ulm und volle Rückbau</w:t>
      </w:r>
      <w:r w:rsidR="00731285">
        <w:rPr>
          <w:sz w:val="24"/>
        </w:rPr>
        <w:t xml:space="preserve"> </w:t>
      </w:r>
      <w:r w:rsidR="009F1A8D" w:rsidRPr="00CD2791">
        <w:rPr>
          <w:sz w:val="24"/>
        </w:rPr>
        <w:t xml:space="preserve">- statt </w:t>
      </w:r>
      <w:proofErr w:type="spellStart"/>
      <w:r w:rsidR="009F1A8D" w:rsidRPr="00CD2791">
        <w:rPr>
          <w:sz w:val="24"/>
        </w:rPr>
        <w:t>Umstiegs</w:t>
      </w:r>
      <w:r w:rsidR="00DD5496" w:rsidRPr="00CD2791">
        <w:rPr>
          <w:sz w:val="24"/>
        </w:rPr>
        <w:t>kosten</w:t>
      </w:r>
      <w:proofErr w:type="spellEnd"/>
      <w:r w:rsidR="00DD5496" w:rsidRPr="00CD2791">
        <w:rPr>
          <w:sz w:val="24"/>
        </w:rPr>
        <w:t xml:space="preserve"> zugrunde legt.</w:t>
      </w:r>
      <w:r w:rsidR="004E6848">
        <w:rPr>
          <w:sz w:val="24"/>
        </w:rPr>
        <w:t xml:space="preserve"> Wird aber die Entscheidung des Aufsichtsrats aufgrund unvollständiger, nicht valider Tatsachenbasis getroffen, ist das eindeutig pflichtwidrig (siehe Bülte, GA  S. 12 f. mit Nachweisen, an BGH NJW 2016, 2585, 2591 anschließend). </w:t>
      </w:r>
    </w:p>
    <w:p w:rsidR="00DD5496" w:rsidRPr="009B3960" w:rsidRDefault="00DD5496" w:rsidP="000F419B">
      <w:pPr>
        <w:pStyle w:val="Listenabsatz"/>
        <w:numPr>
          <w:ilvl w:val="0"/>
          <w:numId w:val="5"/>
        </w:numPr>
        <w:rPr>
          <w:sz w:val="24"/>
          <w:u w:val="single"/>
        </w:rPr>
      </w:pPr>
      <w:r w:rsidRPr="009B3960">
        <w:rPr>
          <w:sz w:val="24"/>
        </w:rPr>
        <w:t xml:space="preserve">Die </w:t>
      </w:r>
      <w:r w:rsidRPr="009B3960">
        <w:rPr>
          <w:sz w:val="24"/>
          <w:u w:val="single"/>
        </w:rPr>
        <w:t>DB AG operiert</w:t>
      </w:r>
      <w:r w:rsidRPr="009B3960">
        <w:rPr>
          <w:sz w:val="24"/>
        </w:rPr>
        <w:t xml:space="preserve">  in ihrer Berechnung der Ausstiegskosten </w:t>
      </w:r>
      <w:r w:rsidRPr="009B3960">
        <w:rPr>
          <w:sz w:val="24"/>
          <w:u w:val="single"/>
        </w:rPr>
        <w:t>mit in krassem</w:t>
      </w:r>
      <w:r w:rsidRPr="009B3960">
        <w:rPr>
          <w:sz w:val="24"/>
        </w:rPr>
        <w:t xml:space="preserve"> </w:t>
      </w:r>
      <w:r w:rsidRPr="009B3960">
        <w:rPr>
          <w:sz w:val="24"/>
          <w:u w:val="single"/>
        </w:rPr>
        <w:t>Maße nicht be</w:t>
      </w:r>
      <w:r w:rsidR="009F1A8D" w:rsidRPr="009B3960">
        <w:rPr>
          <w:sz w:val="24"/>
          <w:u w:val="single"/>
        </w:rPr>
        <w:t>lastbarem Zahlenmaterial</w:t>
      </w:r>
      <w:r w:rsidR="009F1A8D" w:rsidRPr="009B3960">
        <w:rPr>
          <w:sz w:val="24"/>
        </w:rPr>
        <w:t>, wie der weitere</w:t>
      </w:r>
      <w:r w:rsidRPr="009B3960">
        <w:rPr>
          <w:sz w:val="24"/>
        </w:rPr>
        <w:t xml:space="preserve"> </w:t>
      </w:r>
      <w:r w:rsidRPr="00CD2791">
        <w:rPr>
          <w:sz w:val="24"/>
          <w:u w:val="single"/>
        </w:rPr>
        <w:lastRenderedPageBreak/>
        <w:t xml:space="preserve">Schriftsatz </w:t>
      </w:r>
      <w:r w:rsidR="00911144" w:rsidRPr="00CD2791">
        <w:rPr>
          <w:sz w:val="24"/>
          <w:u w:val="single"/>
        </w:rPr>
        <w:t xml:space="preserve">vom 30.05.2018 </w:t>
      </w:r>
      <w:r w:rsidRPr="00CD2791">
        <w:rPr>
          <w:sz w:val="24"/>
          <w:u w:val="single"/>
        </w:rPr>
        <w:t>eingehend erläutert und erhärtet</w:t>
      </w:r>
      <w:r w:rsidRPr="009B3960">
        <w:rPr>
          <w:sz w:val="24"/>
        </w:rPr>
        <w:t>. Dies aber ist grob pflichtwidrig und durch den Weiterbau von S 21 schadenstiftend, wie Prof. Bülte</w:t>
      </w:r>
      <w:r w:rsidR="009F1A8D" w:rsidRPr="009B3960">
        <w:rPr>
          <w:sz w:val="24"/>
        </w:rPr>
        <w:t>, Lehrst</w:t>
      </w:r>
      <w:r w:rsidR="00911144">
        <w:rPr>
          <w:sz w:val="24"/>
        </w:rPr>
        <w:t>uhlinhaber für Wirtschaftsstraf</w:t>
      </w:r>
      <w:r w:rsidR="009F1A8D" w:rsidRPr="009B3960">
        <w:rPr>
          <w:sz w:val="24"/>
        </w:rPr>
        <w:t xml:space="preserve">recht an der Universität Mannheim, </w:t>
      </w:r>
      <w:r w:rsidRPr="009B3960">
        <w:rPr>
          <w:sz w:val="24"/>
        </w:rPr>
        <w:t xml:space="preserve"> in seinem </w:t>
      </w:r>
      <w:r w:rsidR="009F1A8D" w:rsidRPr="009B3960">
        <w:rPr>
          <w:sz w:val="24"/>
        </w:rPr>
        <w:t xml:space="preserve">vorgelegten </w:t>
      </w:r>
      <w:r w:rsidRPr="009B3960">
        <w:rPr>
          <w:sz w:val="24"/>
        </w:rPr>
        <w:t xml:space="preserve">Rechtsgutachten </w:t>
      </w:r>
      <w:r w:rsidR="00F25735">
        <w:rPr>
          <w:sz w:val="24"/>
        </w:rPr>
        <w:t>(</w:t>
      </w:r>
      <w:proofErr w:type="spellStart"/>
      <w:r w:rsidR="00F25735">
        <w:rPr>
          <w:sz w:val="24"/>
        </w:rPr>
        <w:t>aaO</w:t>
      </w:r>
      <w:proofErr w:type="spellEnd"/>
      <w:r w:rsidR="00F25735">
        <w:rPr>
          <w:sz w:val="24"/>
        </w:rPr>
        <w:t xml:space="preserve">) </w:t>
      </w:r>
      <w:r w:rsidRPr="009B3960">
        <w:rPr>
          <w:sz w:val="24"/>
        </w:rPr>
        <w:t xml:space="preserve">beschreibt, so dass auch hier strafrechtliche Ermittlungen schon deshalb evident geboten sind. </w:t>
      </w:r>
      <w:r w:rsidRPr="009B3960">
        <w:rPr>
          <w:sz w:val="24"/>
          <w:u w:val="single"/>
        </w:rPr>
        <w:t xml:space="preserve">Warum scheut </w:t>
      </w:r>
      <w:r w:rsidR="009F1A8D" w:rsidRPr="009B3960">
        <w:rPr>
          <w:sz w:val="24"/>
          <w:u w:val="single"/>
        </w:rPr>
        <w:t xml:space="preserve">sich die Rechtsaufsichtsbehörde </w:t>
      </w:r>
      <w:r w:rsidRPr="009B3960">
        <w:rPr>
          <w:sz w:val="24"/>
          <w:u w:val="single"/>
        </w:rPr>
        <w:t xml:space="preserve"> immer wieder</w:t>
      </w:r>
      <w:r w:rsidR="009F1A8D" w:rsidRPr="009B3960">
        <w:rPr>
          <w:sz w:val="24"/>
          <w:u w:val="single"/>
        </w:rPr>
        <w:t>,</w:t>
      </w:r>
      <w:r w:rsidRPr="009B3960">
        <w:rPr>
          <w:sz w:val="24"/>
          <w:u w:val="single"/>
        </w:rPr>
        <w:t xml:space="preserve"> die überfäll</w:t>
      </w:r>
      <w:r w:rsidR="009F1A8D" w:rsidRPr="009B3960">
        <w:rPr>
          <w:sz w:val="24"/>
          <w:u w:val="single"/>
        </w:rPr>
        <w:t xml:space="preserve">igen Ermittlungen einzuleiten? Dies schadet </w:t>
      </w:r>
      <w:r w:rsidRPr="009B3960">
        <w:rPr>
          <w:sz w:val="24"/>
          <w:u w:val="single"/>
        </w:rPr>
        <w:t xml:space="preserve"> </w:t>
      </w:r>
      <w:r w:rsidR="002D4225" w:rsidRPr="009B3960">
        <w:rPr>
          <w:sz w:val="24"/>
          <w:u w:val="single"/>
        </w:rPr>
        <w:t>dem  Vertrauen in das</w:t>
      </w:r>
      <w:r w:rsidR="009F1A8D" w:rsidRPr="009B3960">
        <w:rPr>
          <w:sz w:val="24"/>
          <w:u w:val="single"/>
        </w:rPr>
        <w:t xml:space="preserve"> Funktionieren des Rechtsstaats.</w:t>
      </w:r>
    </w:p>
    <w:p w:rsidR="00CD2791" w:rsidRDefault="002D4225" w:rsidP="00477960">
      <w:pPr>
        <w:pStyle w:val="Listenabsatz"/>
        <w:numPr>
          <w:ilvl w:val="0"/>
          <w:numId w:val="5"/>
        </w:numPr>
        <w:rPr>
          <w:sz w:val="24"/>
        </w:rPr>
      </w:pPr>
      <w:r w:rsidRPr="009B3960">
        <w:rPr>
          <w:sz w:val="24"/>
        </w:rPr>
        <w:t xml:space="preserve">Auch die im letzten Schriftsatz vom 14.06.2018 </w:t>
      </w:r>
      <w:r w:rsidR="009F1A8D" w:rsidRPr="009B3960">
        <w:rPr>
          <w:sz w:val="24"/>
        </w:rPr>
        <w:t xml:space="preserve">mitgeteilte </w:t>
      </w:r>
      <w:r w:rsidRPr="009B3960">
        <w:rPr>
          <w:sz w:val="24"/>
        </w:rPr>
        <w:t xml:space="preserve"> </w:t>
      </w:r>
      <w:r w:rsidRPr="009B3960">
        <w:rPr>
          <w:sz w:val="24"/>
          <w:u w:val="single"/>
        </w:rPr>
        <w:t>Anhörung von</w:t>
      </w:r>
      <w:r w:rsidRPr="009B3960">
        <w:rPr>
          <w:sz w:val="24"/>
        </w:rPr>
        <w:t xml:space="preserve"> </w:t>
      </w:r>
      <w:r w:rsidRPr="009B3960">
        <w:rPr>
          <w:sz w:val="24"/>
          <w:u w:val="single"/>
        </w:rPr>
        <w:t>Sachverständigen vom 11.06.2018 im Verkehrsausschuss des Bundestages</w:t>
      </w:r>
      <w:r w:rsidRPr="009B3960">
        <w:rPr>
          <w:sz w:val="24"/>
        </w:rPr>
        <w:t xml:space="preserve"> hat den bi</w:t>
      </w:r>
      <w:r w:rsidR="009F1A8D" w:rsidRPr="009B3960">
        <w:rPr>
          <w:sz w:val="24"/>
        </w:rPr>
        <w:t xml:space="preserve">sherigen Sachvortrag </w:t>
      </w:r>
      <w:r w:rsidR="009F1A8D" w:rsidRPr="009B3960">
        <w:rPr>
          <w:sz w:val="24"/>
          <w:u w:val="single"/>
        </w:rPr>
        <w:t>bekräftigt</w:t>
      </w:r>
      <w:r w:rsidR="009F1A8D" w:rsidRPr="009B3960">
        <w:rPr>
          <w:sz w:val="24"/>
        </w:rPr>
        <w:t>:  D</w:t>
      </w:r>
      <w:r w:rsidRPr="009B3960">
        <w:rPr>
          <w:sz w:val="24"/>
        </w:rPr>
        <w:t xml:space="preserve">ie Vertreter der DB AG </w:t>
      </w:r>
      <w:r w:rsidR="009F1A8D" w:rsidRPr="009B3960">
        <w:rPr>
          <w:sz w:val="24"/>
        </w:rPr>
        <w:t xml:space="preserve">konnten </w:t>
      </w:r>
      <w:r w:rsidRPr="009B3960">
        <w:rPr>
          <w:sz w:val="24"/>
        </w:rPr>
        <w:t xml:space="preserve">für die </w:t>
      </w:r>
      <w:r w:rsidR="009F1A8D" w:rsidRPr="009B3960">
        <w:rPr>
          <w:sz w:val="24"/>
        </w:rPr>
        <w:t xml:space="preserve">vorliegend </w:t>
      </w:r>
      <w:r w:rsidRPr="009B3960">
        <w:rPr>
          <w:sz w:val="24"/>
        </w:rPr>
        <w:t>wichtige</w:t>
      </w:r>
      <w:r w:rsidR="00523179" w:rsidRPr="009B3960">
        <w:rPr>
          <w:sz w:val="24"/>
        </w:rPr>
        <w:t xml:space="preserve"> Berechnung der Ausstiegs- und </w:t>
      </w:r>
      <w:proofErr w:type="spellStart"/>
      <w:r w:rsidR="00523179" w:rsidRPr="009B3960">
        <w:rPr>
          <w:sz w:val="24"/>
        </w:rPr>
        <w:t>Umstiegskosten</w:t>
      </w:r>
      <w:proofErr w:type="spellEnd"/>
      <w:r w:rsidR="00523179" w:rsidRPr="009B3960">
        <w:rPr>
          <w:sz w:val="24"/>
        </w:rPr>
        <w:t xml:space="preserve"> </w:t>
      </w:r>
      <w:r w:rsidR="009F1A8D" w:rsidRPr="009B3960">
        <w:rPr>
          <w:sz w:val="24"/>
        </w:rPr>
        <w:t xml:space="preserve">nichts Nachvollziehbares </w:t>
      </w:r>
      <w:r w:rsidR="00523179" w:rsidRPr="009B3960">
        <w:rPr>
          <w:sz w:val="24"/>
        </w:rPr>
        <w:t>vorweisen.</w:t>
      </w:r>
      <w:r w:rsidR="009F1A8D" w:rsidRPr="009B3960">
        <w:rPr>
          <w:sz w:val="24"/>
        </w:rPr>
        <w:t xml:space="preserve"> </w:t>
      </w:r>
      <w:r w:rsidR="00523179" w:rsidRPr="009B3960">
        <w:rPr>
          <w:sz w:val="24"/>
        </w:rPr>
        <w:t xml:space="preserve"> Ganz anders der Sachverständige Dipl.-Ing. Hannes Rockenbauch, der </w:t>
      </w:r>
      <w:r w:rsidR="00123D66" w:rsidRPr="009B3960">
        <w:rPr>
          <w:sz w:val="24"/>
        </w:rPr>
        <w:t xml:space="preserve">(Seite 8 seines am 14.06.18 vorgelegten Gutachtens) </w:t>
      </w:r>
      <w:r w:rsidR="00523179" w:rsidRPr="009B3960">
        <w:rPr>
          <w:sz w:val="24"/>
        </w:rPr>
        <w:t>aufgrund aller bisher bekan</w:t>
      </w:r>
      <w:r w:rsidR="009F1A8D" w:rsidRPr="009B3960">
        <w:rPr>
          <w:sz w:val="24"/>
        </w:rPr>
        <w:t>nten validen Zahlen und Informa</w:t>
      </w:r>
      <w:r w:rsidR="00523179" w:rsidRPr="009B3960">
        <w:rPr>
          <w:sz w:val="24"/>
        </w:rPr>
        <w:t xml:space="preserve">tionen </w:t>
      </w:r>
      <w:r w:rsidR="00123D66" w:rsidRPr="00CD2791">
        <w:rPr>
          <w:sz w:val="24"/>
          <w:u w:val="single"/>
        </w:rPr>
        <w:t xml:space="preserve">selbst für den Fall, dass die derzeitige Kostenprognose der DB  AG von 8,2 Milliarden Euro zuträfe, im Falle des Umstiegs von S 21 eine Ersparnis von 3,2 bis 3,4 Milliarden Euro </w:t>
      </w:r>
      <w:r w:rsidR="00523179" w:rsidRPr="00CD2791">
        <w:rPr>
          <w:sz w:val="24"/>
          <w:u w:val="single"/>
        </w:rPr>
        <w:t xml:space="preserve"> zuzüglich</w:t>
      </w:r>
      <w:r w:rsidR="00523179" w:rsidRPr="009B3960">
        <w:rPr>
          <w:sz w:val="24"/>
        </w:rPr>
        <w:t xml:space="preserve"> </w:t>
      </w:r>
      <w:r w:rsidR="00523179" w:rsidRPr="00CD2791">
        <w:rPr>
          <w:sz w:val="24"/>
          <w:u w:val="single"/>
        </w:rPr>
        <w:t>Vermeidung scha</w:t>
      </w:r>
      <w:r w:rsidR="00B05397" w:rsidRPr="00CD2791">
        <w:rPr>
          <w:sz w:val="24"/>
          <w:u w:val="single"/>
        </w:rPr>
        <w:t>densträchtiger schwerer Dauersc</w:t>
      </w:r>
      <w:r w:rsidR="00123D66" w:rsidRPr="00CD2791">
        <w:rPr>
          <w:sz w:val="24"/>
          <w:u w:val="single"/>
        </w:rPr>
        <w:t>häden</w:t>
      </w:r>
      <w:r w:rsidR="00123D66" w:rsidRPr="009B3960">
        <w:rPr>
          <w:sz w:val="24"/>
        </w:rPr>
        <w:t xml:space="preserve"> ermittelt</w:t>
      </w:r>
      <w:r w:rsidR="00523179" w:rsidRPr="009B3960">
        <w:rPr>
          <w:sz w:val="24"/>
        </w:rPr>
        <w:t xml:space="preserve">. </w:t>
      </w:r>
      <w:r w:rsidR="00123D66" w:rsidRPr="009B3960">
        <w:rPr>
          <w:sz w:val="24"/>
        </w:rPr>
        <w:t xml:space="preserve">Wenn Vorstand und Aufsichtsrat der DB AG über diese validen Fakten locker hinweg gehen, obwohl dies alles den Entscheidern am 26.01.2018 bekannt war, </w:t>
      </w:r>
      <w:r w:rsidR="008666BA" w:rsidRPr="009B3960">
        <w:rPr>
          <w:sz w:val="24"/>
        </w:rPr>
        <w:t>sind Ermittlungen der Staatsanwaltschaft wegen Untreue unerlässlich.</w:t>
      </w:r>
    </w:p>
    <w:p w:rsidR="00C8224B" w:rsidRDefault="00C8224B" w:rsidP="00C8224B">
      <w:pPr>
        <w:pStyle w:val="Listenabsatz"/>
        <w:ind w:left="1800"/>
        <w:rPr>
          <w:sz w:val="24"/>
        </w:rPr>
      </w:pPr>
    </w:p>
    <w:p w:rsidR="00F25735" w:rsidRDefault="003912AC" w:rsidP="000F4111">
      <w:pPr>
        <w:pStyle w:val="Listenabsatz"/>
        <w:numPr>
          <w:ilvl w:val="0"/>
          <w:numId w:val="4"/>
        </w:numPr>
        <w:rPr>
          <w:sz w:val="24"/>
        </w:rPr>
      </w:pPr>
      <w:r>
        <w:rPr>
          <w:sz w:val="24"/>
        </w:rPr>
        <w:t>A</w:t>
      </w:r>
      <w:r w:rsidR="000F4111">
        <w:rPr>
          <w:sz w:val="24"/>
        </w:rPr>
        <w:t xml:space="preserve">ngesichts der unter obiger Ziffer 2 </w:t>
      </w:r>
      <w:r>
        <w:rPr>
          <w:sz w:val="24"/>
        </w:rPr>
        <w:t xml:space="preserve">genannten Fakten, ist unverzichtbar durch strafrechtliche Ermittlungen zu klären, ob auch das </w:t>
      </w:r>
      <w:r w:rsidR="00003BC5">
        <w:rPr>
          <w:sz w:val="24"/>
        </w:rPr>
        <w:t>dem Beschluss des Bahn-Aufsichtsrats zugrunde liegende Geheimgutachten unter solchen Prämissen zustande gekommen ist und eben deshalb nicht die Qualität eines externen unabhängigen Gutachtens hat.</w:t>
      </w:r>
      <w:r w:rsidR="00F25735">
        <w:rPr>
          <w:sz w:val="24"/>
        </w:rPr>
        <w:t xml:space="preserve"> Das ist sehr wahrs</w:t>
      </w:r>
      <w:r w:rsidR="00F57957">
        <w:rPr>
          <w:sz w:val="24"/>
        </w:rPr>
        <w:t xml:space="preserve">cheinlich, denn wenn schon  </w:t>
      </w:r>
      <w:r w:rsidR="00F25735">
        <w:rPr>
          <w:sz w:val="24"/>
        </w:rPr>
        <w:t xml:space="preserve">2012/13 </w:t>
      </w:r>
      <w:r w:rsidR="00F57957">
        <w:rPr>
          <w:sz w:val="24"/>
        </w:rPr>
        <w:t xml:space="preserve">die Überschreitung der Wirtschaftlichkeitsgrenze um </w:t>
      </w:r>
      <w:r w:rsidR="00F25735">
        <w:rPr>
          <w:sz w:val="24"/>
        </w:rPr>
        <w:t>zwei Milliarden Euro keine unabhängige Überprüfung der Kostensituation</w:t>
      </w:r>
      <w:r w:rsidR="00F57957">
        <w:rPr>
          <w:sz w:val="24"/>
        </w:rPr>
        <w:t xml:space="preserve"> auslöste, </w:t>
      </w:r>
      <w:r w:rsidR="00F25735">
        <w:rPr>
          <w:sz w:val="24"/>
        </w:rPr>
        <w:t xml:space="preserve">spricht alles dafür, dass es im </w:t>
      </w:r>
      <w:r w:rsidR="00F57957">
        <w:rPr>
          <w:sz w:val="24"/>
        </w:rPr>
        <w:t xml:space="preserve">wesentlich späteren </w:t>
      </w:r>
      <w:r w:rsidR="001765A5">
        <w:rPr>
          <w:sz w:val="24"/>
        </w:rPr>
        <w:t xml:space="preserve">Stadium des Projekts </w:t>
      </w:r>
      <w:r w:rsidR="00F25735">
        <w:rPr>
          <w:sz w:val="24"/>
        </w:rPr>
        <w:t xml:space="preserve">bei </w:t>
      </w:r>
      <w:r w:rsidR="001765A5">
        <w:rPr>
          <w:sz w:val="24"/>
        </w:rPr>
        <w:t xml:space="preserve">dieser Methode </w:t>
      </w:r>
      <w:r w:rsidR="00F25735">
        <w:rPr>
          <w:sz w:val="24"/>
        </w:rPr>
        <w:t xml:space="preserve">bewendete.  </w:t>
      </w:r>
    </w:p>
    <w:p w:rsidR="00003BC5" w:rsidRDefault="00003BC5" w:rsidP="00F57957">
      <w:pPr>
        <w:pStyle w:val="Listenabsatz"/>
        <w:ind w:left="1440"/>
        <w:rPr>
          <w:sz w:val="24"/>
        </w:rPr>
      </w:pPr>
      <w:r>
        <w:rPr>
          <w:sz w:val="24"/>
        </w:rPr>
        <w:t>Alle bisherigen Kritikpunkte an der Auskunft von DB AG und Bundesregierung nach vorstehender Ziffe</w:t>
      </w:r>
      <w:r w:rsidR="00F57957">
        <w:rPr>
          <w:sz w:val="24"/>
        </w:rPr>
        <w:t xml:space="preserve">r 4 a) und b) sprechen </w:t>
      </w:r>
      <w:r w:rsidR="001765A5">
        <w:rPr>
          <w:sz w:val="24"/>
        </w:rPr>
        <w:t xml:space="preserve">hiernach </w:t>
      </w:r>
      <w:r w:rsidR="00F57957">
        <w:rPr>
          <w:sz w:val="24"/>
        </w:rPr>
        <w:t>für die</w:t>
      </w:r>
      <w:r>
        <w:rPr>
          <w:sz w:val="24"/>
        </w:rPr>
        <w:t xml:space="preserve"> Einschätzung, dass die Geheimgutachter den Vorgaben der DB AG zu folgen hatte. </w:t>
      </w:r>
    </w:p>
    <w:p w:rsidR="00C8224B" w:rsidRDefault="00C8224B" w:rsidP="00F57957">
      <w:pPr>
        <w:pStyle w:val="Listenabsatz"/>
        <w:ind w:left="1440"/>
        <w:rPr>
          <w:sz w:val="24"/>
        </w:rPr>
      </w:pPr>
    </w:p>
    <w:p w:rsidR="00C8224B" w:rsidRDefault="00003BC5" w:rsidP="00C8224B">
      <w:pPr>
        <w:pStyle w:val="Listenabsatz"/>
        <w:numPr>
          <w:ilvl w:val="0"/>
          <w:numId w:val="4"/>
        </w:numPr>
        <w:rPr>
          <w:sz w:val="24"/>
        </w:rPr>
      </w:pPr>
      <w:r w:rsidRPr="00C8224B">
        <w:rPr>
          <w:sz w:val="24"/>
        </w:rPr>
        <w:t xml:space="preserve">Jedenfalls ist es </w:t>
      </w:r>
      <w:r w:rsidR="00F57957" w:rsidRPr="00C8224B">
        <w:rPr>
          <w:sz w:val="24"/>
        </w:rPr>
        <w:t xml:space="preserve">entgegen dem Beschwerdeentscheid </w:t>
      </w:r>
      <w:r w:rsidR="000F4111" w:rsidRPr="00C8224B">
        <w:rPr>
          <w:sz w:val="24"/>
        </w:rPr>
        <w:t xml:space="preserve">unhaltbar, allein die Existenz eines </w:t>
      </w:r>
      <w:r w:rsidR="003912AC" w:rsidRPr="00C8224B">
        <w:rPr>
          <w:sz w:val="24"/>
        </w:rPr>
        <w:t xml:space="preserve">maßgeblich </w:t>
      </w:r>
      <w:r w:rsidR="000F4111" w:rsidRPr="00C8224B">
        <w:rPr>
          <w:sz w:val="24"/>
        </w:rPr>
        <w:t xml:space="preserve">auf </w:t>
      </w:r>
      <w:r w:rsidR="003912AC" w:rsidRPr="00C8224B">
        <w:rPr>
          <w:sz w:val="24"/>
        </w:rPr>
        <w:t xml:space="preserve">Parteibehauptungen aufgebauten Gutachtens als ausreichend anzusehen, um die billigende Inkaufnahme der Schädigung des Bahnkonzerns </w:t>
      </w:r>
      <w:r w:rsidR="00F57957" w:rsidRPr="00C8224B">
        <w:rPr>
          <w:sz w:val="24"/>
        </w:rPr>
        <w:t xml:space="preserve">als „fern liegend“ zu bezeichnen </w:t>
      </w:r>
      <w:r w:rsidRPr="00C8224B">
        <w:rPr>
          <w:sz w:val="24"/>
        </w:rPr>
        <w:t>und deshalb den Anfangsver</w:t>
      </w:r>
      <w:r w:rsidR="003912AC" w:rsidRPr="00C8224B">
        <w:rPr>
          <w:sz w:val="24"/>
        </w:rPr>
        <w:t>dacht einer möglichen Straftat zu verneinen.</w:t>
      </w:r>
      <w:r w:rsidRPr="00C8224B">
        <w:rPr>
          <w:sz w:val="24"/>
        </w:rPr>
        <w:t xml:space="preserve"> Denn die </w:t>
      </w:r>
      <w:r w:rsidRPr="00C8224B">
        <w:rPr>
          <w:sz w:val="24"/>
        </w:rPr>
        <w:lastRenderedPageBreak/>
        <w:t xml:space="preserve">Beschuldigten </w:t>
      </w:r>
      <w:r w:rsidR="001A0632" w:rsidRPr="00C8224B">
        <w:rPr>
          <w:sz w:val="24"/>
        </w:rPr>
        <w:t xml:space="preserve">kannten und billigten die </w:t>
      </w:r>
      <w:r w:rsidRPr="00C8224B">
        <w:rPr>
          <w:sz w:val="24"/>
        </w:rPr>
        <w:t>traditionsreiche Methode der DB AG</w:t>
      </w:r>
      <w:r w:rsidR="001A0632" w:rsidRPr="00C8224B">
        <w:rPr>
          <w:sz w:val="24"/>
        </w:rPr>
        <w:t>, das</w:t>
      </w:r>
      <w:r w:rsidRPr="00C8224B">
        <w:rPr>
          <w:sz w:val="24"/>
        </w:rPr>
        <w:t xml:space="preserve"> </w:t>
      </w:r>
      <w:r w:rsidR="001A0632" w:rsidRPr="00C8224B">
        <w:rPr>
          <w:sz w:val="24"/>
        </w:rPr>
        <w:t>„</w:t>
      </w:r>
      <w:proofErr w:type="spellStart"/>
      <w:r w:rsidR="001A0632" w:rsidRPr="00C8224B">
        <w:rPr>
          <w:sz w:val="24"/>
        </w:rPr>
        <w:t>Herunterreden</w:t>
      </w:r>
      <w:proofErr w:type="spellEnd"/>
      <w:r w:rsidR="001A0632" w:rsidRPr="00C8224B">
        <w:rPr>
          <w:sz w:val="24"/>
        </w:rPr>
        <w:t xml:space="preserve"> und Verschweigen von Fakten und Risiken“ (Dr. Bäumer), die „völlig irrationalen Gründe“ für die Förderung eines „politischen Lieblingsobjekts“ (Dr. </w:t>
      </w:r>
      <w:proofErr w:type="spellStart"/>
      <w:r w:rsidR="001A0632" w:rsidRPr="00C8224B">
        <w:rPr>
          <w:sz w:val="24"/>
        </w:rPr>
        <w:t>Sarrazin</w:t>
      </w:r>
      <w:proofErr w:type="spellEnd"/>
      <w:r w:rsidR="001A0632" w:rsidRPr="00C8224B">
        <w:rPr>
          <w:sz w:val="24"/>
        </w:rPr>
        <w:t xml:space="preserve">) und </w:t>
      </w:r>
      <w:r w:rsidR="00F57957" w:rsidRPr="00C8224B">
        <w:rPr>
          <w:sz w:val="24"/>
        </w:rPr>
        <w:t>die grundlegende Haltung des Vorstands-</w:t>
      </w:r>
      <w:proofErr w:type="spellStart"/>
      <w:r w:rsidR="00F57957" w:rsidRPr="00C8224B">
        <w:rPr>
          <w:sz w:val="24"/>
        </w:rPr>
        <w:t>vorsitzenden</w:t>
      </w:r>
      <w:proofErr w:type="spellEnd"/>
      <w:r w:rsidR="00F57957" w:rsidRPr="00C8224B">
        <w:rPr>
          <w:sz w:val="24"/>
        </w:rPr>
        <w:t xml:space="preserve"> Dr. Lutz,</w:t>
      </w:r>
      <w:r w:rsidR="001A0632" w:rsidRPr="00C8224B">
        <w:rPr>
          <w:sz w:val="24"/>
        </w:rPr>
        <w:t xml:space="preserve"> „finster entschlossen, das Pr</w:t>
      </w:r>
      <w:r w:rsidR="00F57957" w:rsidRPr="00C8224B">
        <w:rPr>
          <w:sz w:val="24"/>
        </w:rPr>
        <w:t xml:space="preserve">ojekt durchzuziehen“. </w:t>
      </w:r>
      <w:r w:rsidR="001765A5">
        <w:rPr>
          <w:sz w:val="24"/>
        </w:rPr>
        <w:t xml:space="preserve">Hinzu kommt, dass sein jetziger Infrastrukturvorstand Ronald </w:t>
      </w:r>
      <w:proofErr w:type="spellStart"/>
      <w:r w:rsidR="001765A5">
        <w:rPr>
          <w:sz w:val="24"/>
        </w:rPr>
        <w:t>Pofalla</w:t>
      </w:r>
      <w:proofErr w:type="spellEnd"/>
      <w:r w:rsidR="001765A5">
        <w:rPr>
          <w:sz w:val="24"/>
        </w:rPr>
        <w:t xml:space="preserve"> 2013 als Kanzleramtschef einer der gesetzwidrig</w:t>
      </w:r>
      <w:r w:rsidR="00E612A9">
        <w:rPr>
          <w:sz w:val="24"/>
        </w:rPr>
        <w:t xml:space="preserve"> weisungsähnlichen </w:t>
      </w:r>
      <w:r w:rsidR="001765A5">
        <w:rPr>
          <w:sz w:val="24"/>
        </w:rPr>
        <w:t xml:space="preserve"> Drahtzieher des Weiterbaus von S 21 </w:t>
      </w:r>
      <w:r w:rsidR="00E612A9">
        <w:rPr>
          <w:sz w:val="24"/>
        </w:rPr>
        <w:t xml:space="preserve">trotz weggefallener Wirtschaftlichkeit des Projekts </w:t>
      </w:r>
      <w:r w:rsidR="001765A5">
        <w:rPr>
          <w:sz w:val="24"/>
        </w:rPr>
        <w:t>war</w:t>
      </w:r>
      <w:r w:rsidR="00E612A9">
        <w:rPr>
          <w:sz w:val="24"/>
        </w:rPr>
        <w:t>.</w:t>
      </w:r>
      <w:r w:rsidR="001765A5">
        <w:rPr>
          <w:sz w:val="24"/>
        </w:rPr>
        <w:t xml:space="preserve"> </w:t>
      </w:r>
      <w:r w:rsidR="00E612A9">
        <w:rPr>
          <w:sz w:val="24"/>
        </w:rPr>
        <w:t>Er konnte nun</w:t>
      </w:r>
      <w:r w:rsidR="001765A5">
        <w:rPr>
          <w:sz w:val="24"/>
        </w:rPr>
        <w:t xml:space="preserve">– ohne </w:t>
      </w:r>
      <w:r w:rsidR="00E612A9">
        <w:rPr>
          <w:sz w:val="24"/>
        </w:rPr>
        <w:t>Umweg – seinen politischen Willen durchsetzen.</w:t>
      </w:r>
      <w:r w:rsidR="00C8224B">
        <w:rPr>
          <w:sz w:val="24"/>
        </w:rPr>
        <w:t xml:space="preserve"> Der Tatverdacht </w:t>
      </w:r>
      <w:r w:rsidR="00E612A9">
        <w:rPr>
          <w:sz w:val="24"/>
        </w:rPr>
        <w:t>der Untreue</w:t>
      </w:r>
      <w:r w:rsidR="00F57957" w:rsidRPr="00C8224B">
        <w:rPr>
          <w:sz w:val="24"/>
        </w:rPr>
        <w:t xml:space="preserve"> verstärkt </w:t>
      </w:r>
      <w:r w:rsidR="00C8224B">
        <w:rPr>
          <w:sz w:val="24"/>
        </w:rPr>
        <w:t xml:space="preserve">sich </w:t>
      </w:r>
      <w:r w:rsidR="00E612A9">
        <w:rPr>
          <w:sz w:val="24"/>
        </w:rPr>
        <w:t xml:space="preserve">noch </w:t>
      </w:r>
      <w:r w:rsidR="00F57957" w:rsidRPr="00C8224B">
        <w:rPr>
          <w:sz w:val="24"/>
        </w:rPr>
        <w:t>dadurch</w:t>
      </w:r>
      <w:r w:rsidR="001A0632" w:rsidRPr="00C8224B">
        <w:rPr>
          <w:sz w:val="24"/>
        </w:rPr>
        <w:t xml:space="preserve">, dass die </w:t>
      </w:r>
      <w:r w:rsidR="00F57957" w:rsidRPr="00C8224B">
        <w:rPr>
          <w:sz w:val="24"/>
        </w:rPr>
        <w:t xml:space="preserve">Beschuldigten </w:t>
      </w:r>
      <w:r w:rsidR="00C8224B" w:rsidRPr="00C8224B">
        <w:rPr>
          <w:sz w:val="24"/>
        </w:rPr>
        <w:t xml:space="preserve">pflichtwidrig </w:t>
      </w:r>
      <w:r w:rsidR="00F57957" w:rsidRPr="00C8224B">
        <w:rPr>
          <w:sz w:val="24"/>
        </w:rPr>
        <w:t xml:space="preserve">die unvollständige, nicht valide Tatsachenbasis des </w:t>
      </w:r>
      <w:r w:rsidR="001A0632" w:rsidRPr="00C8224B">
        <w:rPr>
          <w:sz w:val="24"/>
        </w:rPr>
        <w:t>Geheim</w:t>
      </w:r>
      <w:r w:rsidR="00E612A9">
        <w:rPr>
          <w:sz w:val="24"/>
        </w:rPr>
        <w:t>-</w:t>
      </w:r>
      <w:proofErr w:type="spellStart"/>
      <w:r w:rsidR="001A0632" w:rsidRPr="00C8224B">
        <w:rPr>
          <w:sz w:val="24"/>
        </w:rPr>
        <w:t>gutachten</w:t>
      </w:r>
      <w:r w:rsidR="00F57957" w:rsidRPr="00C8224B">
        <w:rPr>
          <w:sz w:val="24"/>
        </w:rPr>
        <w:t>s</w:t>
      </w:r>
      <w:proofErr w:type="spellEnd"/>
      <w:r w:rsidR="001A0632" w:rsidRPr="00C8224B">
        <w:rPr>
          <w:sz w:val="24"/>
        </w:rPr>
        <w:t xml:space="preserve"> von </w:t>
      </w:r>
      <w:proofErr w:type="spellStart"/>
      <w:r w:rsidR="001A0632" w:rsidRPr="00C8224B">
        <w:rPr>
          <w:sz w:val="24"/>
        </w:rPr>
        <w:t>PwC</w:t>
      </w:r>
      <w:proofErr w:type="spellEnd"/>
      <w:r w:rsidR="001A0632" w:rsidRPr="00C8224B">
        <w:rPr>
          <w:sz w:val="24"/>
        </w:rPr>
        <w:t xml:space="preserve"> und </w:t>
      </w:r>
      <w:proofErr w:type="spellStart"/>
      <w:r w:rsidR="001A0632" w:rsidRPr="00C8224B">
        <w:rPr>
          <w:sz w:val="24"/>
        </w:rPr>
        <w:t>Emch</w:t>
      </w:r>
      <w:proofErr w:type="spellEnd"/>
      <w:r w:rsidR="001A0632" w:rsidRPr="00C8224B">
        <w:rPr>
          <w:sz w:val="24"/>
        </w:rPr>
        <w:t xml:space="preserve"> + Berger</w:t>
      </w:r>
      <w:r w:rsidR="00F57957" w:rsidRPr="00C8224B">
        <w:rPr>
          <w:sz w:val="24"/>
        </w:rPr>
        <w:t xml:space="preserve"> kannten </w:t>
      </w:r>
      <w:r w:rsidR="00C8224B" w:rsidRPr="00C8224B">
        <w:rPr>
          <w:sz w:val="24"/>
        </w:rPr>
        <w:t xml:space="preserve">und die Schadensfolgen ihrer Fehlentscheidung vom 26.01.2018 billigend in Kauf nahmen. </w:t>
      </w:r>
    </w:p>
    <w:p w:rsidR="00477960" w:rsidRPr="00C8224B" w:rsidRDefault="001A0632" w:rsidP="00C8224B">
      <w:pPr>
        <w:pStyle w:val="Listenabsatz"/>
        <w:ind w:left="1440"/>
        <w:rPr>
          <w:sz w:val="24"/>
        </w:rPr>
      </w:pPr>
      <w:r w:rsidRPr="00C8224B">
        <w:rPr>
          <w:sz w:val="24"/>
        </w:rPr>
        <w:t xml:space="preserve"> </w:t>
      </w:r>
    </w:p>
    <w:p w:rsidR="00477960" w:rsidRDefault="005A5CC0" w:rsidP="00CD2791">
      <w:pPr>
        <w:pStyle w:val="Listenabsatz"/>
        <w:numPr>
          <w:ilvl w:val="0"/>
          <w:numId w:val="4"/>
        </w:numPr>
        <w:rPr>
          <w:sz w:val="24"/>
        </w:rPr>
      </w:pPr>
      <w:r w:rsidRPr="009B3960">
        <w:rPr>
          <w:sz w:val="24"/>
        </w:rPr>
        <w:t>D</w:t>
      </w:r>
      <w:r w:rsidR="00523179" w:rsidRPr="009B3960">
        <w:rPr>
          <w:sz w:val="24"/>
        </w:rPr>
        <w:t xml:space="preserve">ie </w:t>
      </w:r>
      <w:r w:rsidR="00C403C1">
        <w:rPr>
          <w:sz w:val="24"/>
        </w:rPr>
        <w:t>vorliegend in Frage stehenden Tatvorwürfe bedeu</w:t>
      </w:r>
      <w:r w:rsidR="00905D2B">
        <w:rPr>
          <w:sz w:val="24"/>
        </w:rPr>
        <w:t>ten eine Fortschreibung der V</w:t>
      </w:r>
      <w:r w:rsidR="00C403C1">
        <w:rPr>
          <w:sz w:val="24"/>
        </w:rPr>
        <w:t xml:space="preserve">orwürfe, die in der Parallelsache 121 Zs 366/18 anstehen. Die Beiziehung und Auswertung der geheim gehaltenen Gutachten und die Überprüfung der diesseits </w:t>
      </w:r>
      <w:proofErr w:type="gramStart"/>
      <w:r w:rsidR="00C403C1">
        <w:rPr>
          <w:sz w:val="24"/>
        </w:rPr>
        <w:t>vorgetragenen</w:t>
      </w:r>
      <w:proofErr w:type="gramEnd"/>
      <w:r w:rsidR="00C403C1">
        <w:rPr>
          <w:sz w:val="24"/>
        </w:rPr>
        <w:t xml:space="preserve"> Tatsachen durch </w:t>
      </w:r>
      <w:r w:rsidR="00477960">
        <w:rPr>
          <w:sz w:val="24"/>
        </w:rPr>
        <w:t xml:space="preserve">Zeugen und </w:t>
      </w:r>
      <w:r w:rsidR="00E612A9">
        <w:rPr>
          <w:sz w:val="24"/>
        </w:rPr>
        <w:t xml:space="preserve">Sachverständige sind </w:t>
      </w:r>
      <w:r w:rsidR="00C403C1">
        <w:rPr>
          <w:sz w:val="24"/>
        </w:rPr>
        <w:t xml:space="preserve"> der Generalstaatsanwaltschaft </w:t>
      </w:r>
      <w:r w:rsidR="00905D2B">
        <w:rPr>
          <w:sz w:val="24"/>
        </w:rPr>
        <w:t xml:space="preserve">nicht nur </w:t>
      </w:r>
      <w:r w:rsidR="00C403C1">
        <w:rPr>
          <w:sz w:val="24"/>
        </w:rPr>
        <w:t xml:space="preserve">problemlos möglich. </w:t>
      </w:r>
      <w:r w:rsidR="00477960">
        <w:rPr>
          <w:sz w:val="24"/>
        </w:rPr>
        <w:t xml:space="preserve">Angesichts der </w:t>
      </w:r>
      <w:r w:rsidR="00E612A9">
        <w:rPr>
          <w:sz w:val="24"/>
        </w:rPr>
        <w:t xml:space="preserve">bedenklich pflichtwidrigen </w:t>
      </w:r>
      <w:r w:rsidR="00477960">
        <w:rPr>
          <w:sz w:val="24"/>
        </w:rPr>
        <w:t xml:space="preserve">Vorgeschichte des Projekts – siehe oben unter III – ist dies </w:t>
      </w:r>
      <w:r w:rsidR="00905D2B">
        <w:rPr>
          <w:sz w:val="24"/>
        </w:rPr>
        <w:t xml:space="preserve">auch </w:t>
      </w:r>
      <w:r w:rsidR="00477960">
        <w:rPr>
          <w:sz w:val="24"/>
        </w:rPr>
        <w:t>mehr denn je unerlässlich.</w:t>
      </w:r>
    </w:p>
    <w:p w:rsidR="00E612A9" w:rsidRDefault="00477960" w:rsidP="00477960">
      <w:pPr>
        <w:pStyle w:val="Listenabsatz"/>
        <w:ind w:left="1440"/>
        <w:rPr>
          <w:sz w:val="24"/>
        </w:rPr>
      </w:pPr>
      <w:r>
        <w:rPr>
          <w:sz w:val="24"/>
        </w:rPr>
        <w:t xml:space="preserve">Die Straftat der Beschuldigten ist zumindest im Sinne des Anfangsverdachts – siehe oben I und II – als möglich anzusehen. Sie haben – bei Einbeziehung der Tatvorwürfe aus der Parallelsache – fortgesetzt ihre Pflichten gegenüber dem Bahnkonzern verletzt und ihn mit billigender Inkaufnahme der Folgen daraus </w:t>
      </w:r>
      <w:r w:rsidR="00905D2B">
        <w:rPr>
          <w:sz w:val="24"/>
        </w:rPr>
        <w:t xml:space="preserve">durch den Baufortgang von S 21 stetig steigend </w:t>
      </w:r>
      <w:r>
        <w:rPr>
          <w:sz w:val="24"/>
        </w:rPr>
        <w:t xml:space="preserve">geschädigt. </w:t>
      </w:r>
      <w:r w:rsidR="00905D2B">
        <w:rPr>
          <w:sz w:val="24"/>
        </w:rPr>
        <w:t>Dies umso mehr, als heute bereits quantifizierbare Vermögensminderungen des betreuten Vermögens eingetreten sind, die massiv etwa als Investitionen gegen quellfähiges Anhydrit in den Tunnelbauten und auf andere Weise zu Buche schlagen</w:t>
      </w:r>
      <w:r w:rsidR="00E612A9">
        <w:rPr>
          <w:sz w:val="24"/>
        </w:rPr>
        <w:t xml:space="preserve"> (hierzu siehe auch die Parallelsache mit Schriftsatz vom 25.07.2018, S. 8 Ziffer 2)</w:t>
      </w:r>
      <w:r w:rsidR="003D6C6F">
        <w:rPr>
          <w:sz w:val="24"/>
        </w:rPr>
        <w:t>.</w:t>
      </w:r>
    </w:p>
    <w:p w:rsidR="00523179" w:rsidRPr="009B3960" w:rsidRDefault="00905D2B" w:rsidP="00477960">
      <w:pPr>
        <w:pStyle w:val="Listenabsatz"/>
        <w:ind w:left="1440"/>
        <w:rPr>
          <w:sz w:val="24"/>
        </w:rPr>
      </w:pPr>
      <w:r>
        <w:rPr>
          <w:sz w:val="24"/>
        </w:rPr>
        <w:t xml:space="preserve"> Die Tatverdächtigen haben sich wissentlich und willentlich </w:t>
      </w:r>
      <w:r w:rsidR="003D6C6F">
        <w:rPr>
          <w:sz w:val="24"/>
        </w:rPr>
        <w:t xml:space="preserve">über die diesseits </w:t>
      </w:r>
      <w:proofErr w:type="gramStart"/>
      <w:r w:rsidR="003D6C6F">
        <w:rPr>
          <w:sz w:val="24"/>
        </w:rPr>
        <w:t>beschriebenen</w:t>
      </w:r>
      <w:proofErr w:type="gramEnd"/>
      <w:r w:rsidR="003D6C6F">
        <w:rPr>
          <w:sz w:val="24"/>
        </w:rPr>
        <w:t xml:space="preserve"> Tatsachen </w:t>
      </w:r>
      <w:r>
        <w:rPr>
          <w:sz w:val="24"/>
        </w:rPr>
        <w:t>hinweggesetz</w:t>
      </w:r>
      <w:r w:rsidR="00DC6829">
        <w:rPr>
          <w:sz w:val="24"/>
        </w:rPr>
        <w:t>t</w:t>
      </w:r>
      <w:r w:rsidR="003D6C6F">
        <w:rPr>
          <w:sz w:val="24"/>
        </w:rPr>
        <w:t xml:space="preserve"> und den Schaden billigend in Kauf genommen. S</w:t>
      </w:r>
      <w:r w:rsidR="00DC6829">
        <w:rPr>
          <w:sz w:val="24"/>
        </w:rPr>
        <w:t xml:space="preserve">ie </w:t>
      </w:r>
      <w:r w:rsidR="003D6C6F">
        <w:rPr>
          <w:sz w:val="24"/>
        </w:rPr>
        <w:t xml:space="preserve">treffen </w:t>
      </w:r>
      <w:r w:rsidR="00DC6829">
        <w:rPr>
          <w:sz w:val="24"/>
        </w:rPr>
        <w:t xml:space="preserve">bei diesem Großprojekt </w:t>
      </w:r>
      <w:r w:rsidR="00C8224B">
        <w:rPr>
          <w:sz w:val="24"/>
        </w:rPr>
        <w:t xml:space="preserve">S 21 </w:t>
      </w:r>
      <w:r w:rsidR="00DC6829">
        <w:rPr>
          <w:sz w:val="24"/>
        </w:rPr>
        <w:t xml:space="preserve">traditionsreich </w:t>
      </w:r>
      <w:r w:rsidR="00C8224B">
        <w:rPr>
          <w:sz w:val="24"/>
        </w:rPr>
        <w:t>Entscheidungen</w:t>
      </w:r>
      <w:r w:rsidR="00DC6829">
        <w:rPr>
          <w:sz w:val="24"/>
        </w:rPr>
        <w:t xml:space="preserve">, </w:t>
      </w:r>
      <w:r w:rsidR="00C8224B">
        <w:rPr>
          <w:sz w:val="24"/>
        </w:rPr>
        <w:t>die bestehende pol</w:t>
      </w:r>
      <w:r w:rsidR="003D6C6F">
        <w:rPr>
          <w:sz w:val="24"/>
        </w:rPr>
        <w:t>itische Fehlentscheidungen fort</w:t>
      </w:r>
      <w:r w:rsidR="00C8224B">
        <w:rPr>
          <w:sz w:val="24"/>
        </w:rPr>
        <w:t xml:space="preserve">führen, ohne </w:t>
      </w:r>
      <w:r w:rsidR="00BB629E">
        <w:rPr>
          <w:sz w:val="24"/>
        </w:rPr>
        <w:t xml:space="preserve">auf valider Tatsachenbasis gesichert zu sein. Dies aber ist mit  </w:t>
      </w:r>
      <w:r w:rsidR="00DC6829">
        <w:rPr>
          <w:sz w:val="24"/>
        </w:rPr>
        <w:t xml:space="preserve">gesetzlichen Maßstäben </w:t>
      </w:r>
      <w:r w:rsidR="00BB629E">
        <w:rPr>
          <w:sz w:val="24"/>
        </w:rPr>
        <w:t xml:space="preserve">unvereinbar und muss unaufschiebbar </w:t>
      </w:r>
      <w:proofErr w:type="spellStart"/>
      <w:r w:rsidR="00BB629E">
        <w:rPr>
          <w:sz w:val="24"/>
        </w:rPr>
        <w:t>strafrecht-liche</w:t>
      </w:r>
      <w:proofErr w:type="spellEnd"/>
      <w:r w:rsidR="00BB629E">
        <w:rPr>
          <w:sz w:val="24"/>
        </w:rPr>
        <w:t xml:space="preserve"> Ermittlungen </w:t>
      </w:r>
      <w:r w:rsidR="003D6C6F">
        <w:rPr>
          <w:sz w:val="24"/>
        </w:rPr>
        <w:t>auslösen.</w:t>
      </w:r>
    </w:p>
    <w:p w:rsidR="00C403C1" w:rsidRPr="009B3960" w:rsidRDefault="00C403C1" w:rsidP="00523179">
      <w:pPr>
        <w:rPr>
          <w:sz w:val="24"/>
        </w:rPr>
      </w:pPr>
    </w:p>
    <w:p w:rsidR="00523179" w:rsidRPr="009B3960" w:rsidRDefault="00523179" w:rsidP="00523179">
      <w:pPr>
        <w:rPr>
          <w:sz w:val="24"/>
        </w:rPr>
      </w:pPr>
      <w:r w:rsidRPr="009B3960">
        <w:rPr>
          <w:sz w:val="24"/>
        </w:rPr>
        <w:t xml:space="preserve">               Rechtsanwalt</w:t>
      </w:r>
    </w:p>
    <w:p w:rsidR="00D46E73" w:rsidRPr="009B3960" w:rsidRDefault="00D46E73" w:rsidP="00D46E73">
      <w:pPr>
        <w:pStyle w:val="Listenabsatz"/>
        <w:rPr>
          <w:sz w:val="24"/>
        </w:rPr>
      </w:pPr>
    </w:p>
    <w:p w:rsidR="00595A0F" w:rsidRPr="009B3960" w:rsidRDefault="00595A0F" w:rsidP="00D46E73">
      <w:pPr>
        <w:rPr>
          <w:sz w:val="24"/>
        </w:rPr>
      </w:pPr>
    </w:p>
    <w:p w:rsidR="00595A0F" w:rsidRPr="009B3960" w:rsidRDefault="00595A0F" w:rsidP="00D46E73">
      <w:pPr>
        <w:rPr>
          <w:sz w:val="24"/>
        </w:rPr>
      </w:pPr>
    </w:p>
    <w:sectPr w:rsidR="00595A0F" w:rsidRPr="009B3960" w:rsidSect="00EF27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113" w:rsidRDefault="00C81113" w:rsidP="00FD35B3">
      <w:pPr>
        <w:spacing w:after="0" w:line="240" w:lineRule="auto"/>
      </w:pPr>
      <w:r>
        <w:separator/>
      </w:r>
    </w:p>
  </w:endnote>
  <w:endnote w:type="continuationSeparator" w:id="0">
    <w:p w:rsidR="00C81113" w:rsidRDefault="00C81113" w:rsidP="00FD3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ngla Sangam MN">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A9" w:rsidRDefault="00E612A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A9" w:rsidRDefault="00E612A9">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A9" w:rsidRDefault="00E612A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113" w:rsidRDefault="00C81113" w:rsidP="00FD35B3">
      <w:pPr>
        <w:spacing w:after="0" w:line="240" w:lineRule="auto"/>
      </w:pPr>
      <w:r>
        <w:separator/>
      </w:r>
    </w:p>
  </w:footnote>
  <w:footnote w:type="continuationSeparator" w:id="0">
    <w:p w:rsidR="00C81113" w:rsidRDefault="00C81113" w:rsidP="00FD35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A9" w:rsidRDefault="00E612A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17954"/>
      <w:docPartObj>
        <w:docPartGallery w:val="Page Numbers (Top of Page)"/>
        <w:docPartUnique/>
      </w:docPartObj>
    </w:sdtPr>
    <w:sdtContent>
      <w:p w:rsidR="00E612A9" w:rsidRDefault="00474E96">
        <w:pPr>
          <w:pStyle w:val="Kopfzeile"/>
          <w:jc w:val="right"/>
        </w:pPr>
        <w:fldSimple w:instr=" PAGE   \* MERGEFORMAT ">
          <w:r w:rsidR="005A5365">
            <w:rPr>
              <w:noProof/>
            </w:rPr>
            <w:t>3</w:t>
          </w:r>
        </w:fldSimple>
      </w:p>
    </w:sdtContent>
  </w:sdt>
  <w:p w:rsidR="00E612A9" w:rsidRDefault="00E612A9">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2A9" w:rsidRDefault="00E612A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BA2"/>
    <w:multiLevelType w:val="hybridMultilevel"/>
    <w:tmpl w:val="C8BC4EA8"/>
    <w:lvl w:ilvl="0" w:tplc="EC504A7C">
      <w:start w:val="1"/>
      <w:numFmt w:val="lowerLetter"/>
      <w:lvlText w:val="%1)"/>
      <w:lvlJc w:val="left"/>
      <w:pPr>
        <w:ind w:left="1800" w:hanging="360"/>
      </w:pPr>
      <w:rPr>
        <w:rFonts w:asciiTheme="minorHAnsi" w:eastAsiaTheme="minorHAnsi" w:hAnsiTheme="minorHAnsi" w:cstheme="minorBidi"/>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nsid w:val="0B072D0A"/>
    <w:multiLevelType w:val="hybridMultilevel"/>
    <w:tmpl w:val="37D2FBFC"/>
    <w:lvl w:ilvl="0" w:tplc="7D78D3B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8855DE3"/>
    <w:multiLevelType w:val="hybridMultilevel"/>
    <w:tmpl w:val="360600FE"/>
    <w:lvl w:ilvl="0" w:tplc="708AE538">
      <w:start w:val="1"/>
      <w:numFmt w:val="decimal"/>
      <w:lvlText w:val="%1."/>
      <w:lvlJc w:val="left"/>
      <w:pPr>
        <w:ind w:left="1440" w:hanging="360"/>
      </w:pPr>
      <w:rPr>
        <w:rFonts w:asciiTheme="minorHAnsi" w:eastAsiaTheme="minorHAnsi" w:hAnsiTheme="minorHAnsi" w:cstheme="minorBidi"/>
        <w:i w:val="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2AAB0F46"/>
    <w:multiLevelType w:val="hybridMultilevel"/>
    <w:tmpl w:val="81E0DC2C"/>
    <w:lvl w:ilvl="0" w:tplc="0407000F">
      <w:start w:val="1"/>
      <w:numFmt w:val="decimal"/>
      <w:lvlText w:val="%1."/>
      <w:lvlJc w:val="left"/>
      <w:pPr>
        <w:ind w:left="900" w:hanging="360"/>
      </w:pPr>
    </w:lvl>
    <w:lvl w:ilvl="1" w:tplc="04070019">
      <w:start w:val="1"/>
      <w:numFmt w:val="lowerLetter"/>
      <w:lvlText w:val="%2."/>
      <w:lvlJc w:val="left"/>
      <w:pPr>
        <w:ind w:left="1620" w:hanging="360"/>
      </w:pPr>
    </w:lvl>
    <w:lvl w:ilvl="2" w:tplc="0407001B">
      <w:start w:val="1"/>
      <w:numFmt w:val="lowerRoman"/>
      <w:lvlText w:val="%3."/>
      <w:lvlJc w:val="right"/>
      <w:pPr>
        <w:ind w:left="2340" w:hanging="180"/>
      </w:pPr>
    </w:lvl>
    <w:lvl w:ilvl="3" w:tplc="0407000F">
      <w:start w:val="1"/>
      <w:numFmt w:val="decimal"/>
      <w:lvlText w:val="%4."/>
      <w:lvlJc w:val="left"/>
      <w:pPr>
        <w:ind w:left="3060" w:hanging="360"/>
      </w:pPr>
    </w:lvl>
    <w:lvl w:ilvl="4" w:tplc="04070019">
      <w:start w:val="1"/>
      <w:numFmt w:val="lowerLetter"/>
      <w:lvlText w:val="%5."/>
      <w:lvlJc w:val="left"/>
      <w:pPr>
        <w:ind w:left="3780" w:hanging="360"/>
      </w:pPr>
    </w:lvl>
    <w:lvl w:ilvl="5" w:tplc="0407001B">
      <w:start w:val="1"/>
      <w:numFmt w:val="lowerRoman"/>
      <w:lvlText w:val="%6."/>
      <w:lvlJc w:val="right"/>
      <w:pPr>
        <w:ind w:left="4500" w:hanging="180"/>
      </w:pPr>
    </w:lvl>
    <w:lvl w:ilvl="6" w:tplc="0407000F">
      <w:start w:val="1"/>
      <w:numFmt w:val="decimal"/>
      <w:lvlText w:val="%7."/>
      <w:lvlJc w:val="left"/>
      <w:pPr>
        <w:ind w:left="5220" w:hanging="360"/>
      </w:pPr>
    </w:lvl>
    <w:lvl w:ilvl="7" w:tplc="04070019">
      <w:start w:val="1"/>
      <w:numFmt w:val="lowerLetter"/>
      <w:lvlText w:val="%8."/>
      <w:lvlJc w:val="left"/>
      <w:pPr>
        <w:ind w:left="5940" w:hanging="360"/>
      </w:pPr>
    </w:lvl>
    <w:lvl w:ilvl="8" w:tplc="0407001B">
      <w:start w:val="1"/>
      <w:numFmt w:val="lowerRoman"/>
      <w:lvlText w:val="%9."/>
      <w:lvlJc w:val="right"/>
      <w:pPr>
        <w:ind w:left="6660" w:hanging="180"/>
      </w:pPr>
    </w:lvl>
  </w:abstractNum>
  <w:abstractNum w:abstractNumId="4">
    <w:nsid w:val="35912BE5"/>
    <w:multiLevelType w:val="hybridMultilevel"/>
    <w:tmpl w:val="0C86E1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F03638B"/>
    <w:multiLevelType w:val="hybridMultilevel"/>
    <w:tmpl w:val="5C8CEEF0"/>
    <w:lvl w:ilvl="0" w:tplc="0944E17E">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59C939A8"/>
    <w:multiLevelType w:val="hybridMultilevel"/>
    <w:tmpl w:val="93DE1906"/>
    <w:lvl w:ilvl="0" w:tplc="5BBE1D50">
      <w:start w:val="1"/>
      <w:numFmt w:val="lowerLetter"/>
      <w:lvlText w:val="%1)"/>
      <w:lvlJc w:val="left"/>
      <w:pPr>
        <w:ind w:left="1080" w:hanging="360"/>
      </w:pPr>
      <w:rPr>
        <w:rFonts w:ascii="Calibri" w:eastAsia="Calibri" w:hAnsi="Calibri" w:cs="Calibri"/>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4"/>
  </w:num>
  <w:num w:numId="2">
    <w:abstractNumId w:val="1"/>
  </w:num>
  <w:num w:numId="3">
    <w:abstractNumId w:val="5"/>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95A0F"/>
    <w:rsid w:val="00003BC5"/>
    <w:rsid w:val="000321CD"/>
    <w:rsid w:val="00087D42"/>
    <w:rsid w:val="000928CA"/>
    <w:rsid w:val="000949D1"/>
    <w:rsid w:val="000A1071"/>
    <w:rsid w:val="000F4111"/>
    <w:rsid w:val="000F419B"/>
    <w:rsid w:val="000F6FA3"/>
    <w:rsid w:val="00106202"/>
    <w:rsid w:val="00123D66"/>
    <w:rsid w:val="00150139"/>
    <w:rsid w:val="00152809"/>
    <w:rsid w:val="001563C8"/>
    <w:rsid w:val="00166AEC"/>
    <w:rsid w:val="001765A5"/>
    <w:rsid w:val="001A0632"/>
    <w:rsid w:val="001A5288"/>
    <w:rsid w:val="001A57F7"/>
    <w:rsid w:val="00210144"/>
    <w:rsid w:val="0024246D"/>
    <w:rsid w:val="002B6EA0"/>
    <w:rsid w:val="002C3DD6"/>
    <w:rsid w:val="002D4225"/>
    <w:rsid w:val="002D5D33"/>
    <w:rsid w:val="002E2C2F"/>
    <w:rsid w:val="00306043"/>
    <w:rsid w:val="003668C6"/>
    <w:rsid w:val="00373D8F"/>
    <w:rsid w:val="003912AC"/>
    <w:rsid w:val="003A1DCA"/>
    <w:rsid w:val="003C2FDF"/>
    <w:rsid w:val="003C4E3A"/>
    <w:rsid w:val="003D6C6F"/>
    <w:rsid w:val="003D7A96"/>
    <w:rsid w:val="00442F01"/>
    <w:rsid w:val="00474E96"/>
    <w:rsid w:val="00477960"/>
    <w:rsid w:val="0049295F"/>
    <w:rsid w:val="004A01C6"/>
    <w:rsid w:val="004E109F"/>
    <w:rsid w:val="004E6848"/>
    <w:rsid w:val="00523179"/>
    <w:rsid w:val="00532F95"/>
    <w:rsid w:val="005349FD"/>
    <w:rsid w:val="00587D27"/>
    <w:rsid w:val="00595A0F"/>
    <w:rsid w:val="005A5365"/>
    <w:rsid w:val="005A5CC0"/>
    <w:rsid w:val="005D35B9"/>
    <w:rsid w:val="005D5EAF"/>
    <w:rsid w:val="005E720E"/>
    <w:rsid w:val="00641468"/>
    <w:rsid w:val="00683D75"/>
    <w:rsid w:val="006C415B"/>
    <w:rsid w:val="006C58D9"/>
    <w:rsid w:val="006D49BE"/>
    <w:rsid w:val="00731285"/>
    <w:rsid w:val="0075340B"/>
    <w:rsid w:val="00795B91"/>
    <w:rsid w:val="007A4CB1"/>
    <w:rsid w:val="007D1723"/>
    <w:rsid w:val="007D23A4"/>
    <w:rsid w:val="00852E9F"/>
    <w:rsid w:val="00857B2D"/>
    <w:rsid w:val="008666BA"/>
    <w:rsid w:val="008B38C0"/>
    <w:rsid w:val="008D4996"/>
    <w:rsid w:val="008D756E"/>
    <w:rsid w:val="00905D2B"/>
    <w:rsid w:val="00911144"/>
    <w:rsid w:val="009253A5"/>
    <w:rsid w:val="00942D3E"/>
    <w:rsid w:val="00961264"/>
    <w:rsid w:val="009B1BC3"/>
    <w:rsid w:val="009B3960"/>
    <w:rsid w:val="009B7664"/>
    <w:rsid w:val="009C2517"/>
    <w:rsid w:val="009F1A8D"/>
    <w:rsid w:val="00A439AC"/>
    <w:rsid w:val="00A85493"/>
    <w:rsid w:val="00A96EAF"/>
    <w:rsid w:val="00AA6E43"/>
    <w:rsid w:val="00AB289D"/>
    <w:rsid w:val="00AC0CC0"/>
    <w:rsid w:val="00AF0D36"/>
    <w:rsid w:val="00AF76B0"/>
    <w:rsid w:val="00B05397"/>
    <w:rsid w:val="00B808E2"/>
    <w:rsid w:val="00BB629E"/>
    <w:rsid w:val="00C31E78"/>
    <w:rsid w:val="00C403C1"/>
    <w:rsid w:val="00C81113"/>
    <w:rsid w:val="00C8224B"/>
    <w:rsid w:val="00C846B7"/>
    <w:rsid w:val="00CD2791"/>
    <w:rsid w:val="00CD27FC"/>
    <w:rsid w:val="00CE0628"/>
    <w:rsid w:val="00CF3DDD"/>
    <w:rsid w:val="00D46E73"/>
    <w:rsid w:val="00D93760"/>
    <w:rsid w:val="00DC6829"/>
    <w:rsid w:val="00DD5496"/>
    <w:rsid w:val="00E5512E"/>
    <w:rsid w:val="00E612A9"/>
    <w:rsid w:val="00E67EB3"/>
    <w:rsid w:val="00EC66DC"/>
    <w:rsid w:val="00ED2931"/>
    <w:rsid w:val="00EF2736"/>
    <w:rsid w:val="00F03B95"/>
    <w:rsid w:val="00F1495A"/>
    <w:rsid w:val="00F23963"/>
    <w:rsid w:val="00F25735"/>
    <w:rsid w:val="00F33F6B"/>
    <w:rsid w:val="00F57957"/>
    <w:rsid w:val="00FB513A"/>
    <w:rsid w:val="00FD35B3"/>
    <w:rsid w:val="00FE3D06"/>
    <w:rsid w:val="00FF4A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6E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2F01"/>
    <w:pPr>
      <w:ind w:left="720"/>
      <w:contextualSpacing/>
    </w:pPr>
  </w:style>
  <w:style w:type="paragraph" w:styleId="StandardWeb">
    <w:name w:val="Normal (Web)"/>
    <w:basedOn w:val="Standard"/>
    <w:uiPriority w:val="99"/>
    <w:semiHidden/>
    <w:unhideWhenUsed/>
    <w:rsid w:val="00A96EAF"/>
    <w:pPr>
      <w:spacing w:before="100" w:beforeAutospacing="1" w:after="100" w:afterAutospacing="1" w:line="240" w:lineRule="auto"/>
    </w:pPr>
    <w:rPr>
      <w:rFonts w:ascii="Calibri" w:eastAsia="Calibri" w:hAnsi="Calibri" w:cs="Calibri"/>
      <w:color w:val="000000"/>
      <w:sz w:val="24"/>
      <w:szCs w:val="24"/>
      <w:lang w:eastAsia="de-DE"/>
    </w:rPr>
  </w:style>
  <w:style w:type="paragraph" w:styleId="Funotentext">
    <w:name w:val="footnote text"/>
    <w:basedOn w:val="Standard"/>
    <w:link w:val="FunotentextZchn"/>
    <w:uiPriority w:val="99"/>
    <w:semiHidden/>
    <w:unhideWhenUsed/>
    <w:rsid w:val="00A96EAF"/>
    <w:pPr>
      <w:spacing w:after="0" w:line="240" w:lineRule="auto"/>
      <w:jc w:val="both"/>
    </w:pPr>
    <w:rPr>
      <w:rFonts w:ascii="Garamond" w:eastAsia="Calibri" w:hAnsi="Garamond" w:cs="Garamond"/>
      <w:sz w:val="20"/>
      <w:szCs w:val="20"/>
      <w:lang w:eastAsia="de-DE"/>
    </w:rPr>
  </w:style>
  <w:style w:type="character" w:customStyle="1" w:styleId="FunotentextZchn">
    <w:name w:val="Fußnotentext Zchn"/>
    <w:basedOn w:val="Absatz-Standardschriftart"/>
    <w:link w:val="Funotentext"/>
    <w:uiPriority w:val="99"/>
    <w:semiHidden/>
    <w:rsid w:val="00A96EAF"/>
    <w:rPr>
      <w:rFonts w:ascii="Garamond" w:eastAsia="Calibri" w:hAnsi="Garamond" w:cs="Garamond"/>
      <w:sz w:val="20"/>
      <w:szCs w:val="20"/>
      <w:lang w:eastAsia="de-DE"/>
    </w:rPr>
  </w:style>
  <w:style w:type="paragraph" w:styleId="Kopfzeile">
    <w:name w:val="header"/>
    <w:basedOn w:val="Standard"/>
    <w:link w:val="KopfzeileZchn"/>
    <w:uiPriority w:val="99"/>
    <w:unhideWhenUsed/>
    <w:rsid w:val="00FD35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5B3"/>
  </w:style>
  <w:style w:type="paragraph" w:styleId="Fuzeile">
    <w:name w:val="footer"/>
    <w:basedOn w:val="Standard"/>
    <w:link w:val="FuzeileZchn"/>
    <w:uiPriority w:val="99"/>
    <w:semiHidden/>
    <w:unhideWhenUsed/>
    <w:rsid w:val="00FD35B3"/>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D35B3"/>
  </w:style>
  <w:style w:type="paragraph" w:customStyle="1" w:styleId="Kopf-undFuzeilen">
    <w:name w:val="Kopf- und Fußzeilen"/>
    <w:rsid w:val="005A5365"/>
    <w:pPr>
      <w:spacing w:after="0" w:line="240" w:lineRule="auto"/>
    </w:pPr>
    <w:rPr>
      <w:rFonts w:ascii="Helvetica Neue" w:eastAsia="Arial Unicode MS" w:hAnsi="Helvetica Neue" w:cs="Arial Unicode MS"/>
      <w:color w:val="000000"/>
      <w:kern w:val="1"/>
      <w:sz w:val="24"/>
      <w:szCs w:val="24"/>
      <w:lang w:eastAsia="zh-CN" w:bidi="hi-IN"/>
    </w:rPr>
  </w:style>
  <w:style w:type="paragraph" w:customStyle="1" w:styleId="FreieForm">
    <w:name w:val="Freie Form"/>
    <w:rsid w:val="005A5365"/>
    <w:pPr>
      <w:spacing w:after="0" w:line="240" w:lineRule="auto"/>
    </w:pPr>
    <w:rPr>
      <w:rFonts w:ascii="Helvetica" w:eastAsia="Arial Unicode MS" w:hAnsi="Helvetica" w:cs="Arial Unicode MS"/>
      <w:color w:val="000000"/>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8309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4074</Words>
  <Characters>25667</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Werner</cp:lastModifiedBy>
  <cp:revision>3</cp:revision>
  <cp:lastPrinted>2018-07-30T08:00:00Z</cp:lastPrinted>
  <dcterms:created xsi:type="dcterms:W3CDTF">2018-08-02T14:55:00Z</dcterms:created>
  <dcterms:modified xsi:type="dcterms:W3CDTF">2018-08-02T15:03:00Z</dcterms:modified>
</cp:coreProperties>
</file>