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6B" w:rsidRDefault="00E279DB">
      <w:r>
        <w:rPr>
          <w:sz w:val="28"/>
          <w:szCs w:val="28"/>
        </w:rPr>
        <w:t>ÜBERPRÜFUNG</w:t>
      </w:r>
      <w:r w:rsidR="003D2815">
        <w:rPr>
          <w:sz w:val="28"/>
          <w:szCs w:val="28"/>
        </w:rPr>
        <w:t xml:space="preserve"> </w:t>
      </w:r>
      <w:r w:rsidR="00285EE7">
        <w:rPr>
          <w:sz w:val="28"/>
          <w:szCs w:val="28"/>
        </w:rPr>
        <w:t>KPMG-KOSTENGUTACHTEN</w:t>
      </w:r>
      <w:r w:rsidR="00285EE7" w:rsidRPr="00285EE7">
        <w:rPr>
          <w:sz w:val="28"/>
          <w:szCs w:val="28"/>
        </w:rPr>
        <w:t xml:space="preserve"> </w:t>
      </w:r>
      <w:r w:rsidR="00285EE7">
        <w:rPr>
          <w:sz w:val="28"/>
          <w:szCs w:val="28"/>
        </w:rPr>
        <w:t>S21</w:t>
      </w:r>
      <w:r w:rsidR="003D2815">
        <w:rPr>
          <w:sz w:val="28"/>
          <w:szCs w:val="28"/>
        </w:rPr>
        <w:t>/</w:t>
      </w:r>
      <w:r>
        <w:rPr>
          <w:sz w:val="28"/>
          <w:szCs w:val="28"/>
        </w:rPr>
        <w:t xml:space="preserve"> M</w:t>
      </w:r>
      <w:r w:rsidR="003D2815">
        <w:rPr>
          <w:sz w:val="28"/>
          <w:szCs w:val="28"/>
        </w:rPr>
        <w:t>EHR</w:t>
      </w:r>
      <w:r>
        <w:rPr>
          <w:sz w:val="28"/>
          <w:szCs w:val="28"/>
        </w:rPr>
        <w:t>KOSTEN</w:t>
      </w:r>
      <w:r w:rsidR="003D2815">
        <w:tab/>
      </w:r>
      <w:r w:rsidR="000F2083">
        <w:t xml:space="preserve">    </w:t>
      </w:r>
      <w:r w:rsidR="003D2815">
        <w:t>8</w:t>
      </w:r>
      <w:r>
        <w:t>.</w:t>
      </w:r>
      <w:r w:rsidR="003D2815">
        <w:t>Dez</w:t>
      </w:r>
      <w:r>
        <w:t>. 2016/HY</w:t>
      </w:r>
    </w:p>
    <w:p w:rsidR="000C1C88" w:rsidRDefault="000C1C88">
      <w:r>
        <w:t>D</w:t>
      </w:r>
      <w:r w:rsidR="00300A1A">
        <w:t>er A</w:t>
      </w:r>
      <w:r w:rsidR="001C3E4E">
        <w:t>ufsichtsrat der DB AG ha</w:t>
      </w:r>
      <w:r w:rsidR="00621BCE">
        <w:t>t</w:t>
      </w:r>
      <w:r w:rsidR="001C3E4E">
        <w:t>t</w:t>
      </w:r>
      <w:r w:rsidR="00621BCE">
        <w:t>e am 13</w:t>
      </w:r>
      <w:r w:rsidR="00322A87">
        <w:t>.5.2016</w:t>
      </w:r>
      <w:r w:rsidR="001C3E4E">
        <w:t xml:space="preserve"> d</w:t>
      </w:r>
      <w:r w:rsidR="00621BCE">
        <w:t>i</w:t>
      </w:r>
      <w:r>
        <w:t>e</w:t>
      </w:r>
      <w:r w:rsidR="00300A1A">
        <w:t xml:space="preserve"> Wirtschaftsprüfern KPMG + Basler AG</w:t>
      </w:r>
      <w:r>
        <w:t xml:space="preserve"> </w:t>
      </w:r>
      <w:r w:rsidR="005238AB">
        <w:t xml:space="preserve">beauftragt, </w:t>
      </w:r>
      <w:r>
        <w:t>de</w:t>
      </w:r>
      <w:r w:rsidR="005238AB">
        <w:t>n</w:t>
      </w:r>
      <w:r>
        <w:t xml:space="preserve"> Finanzierungsrahmens</w:t>
      </w:r>
      <w:r w:rsidR="003C6C2A">
        <w:t xml:space="preserve"> in Höhe von 6,526 Mrd.</w:t>
      </w:r>
      <w:r w:rsidR="00C901DC">
        <w:t xml:space="preserve"> </w:t>
      </w:r>
      <w:r w:rsidR="003C6C2A">
        <w:t>€</w:t>
      </w:r>
      <w:r w:rsidR="005238AB">
        <w:t xml:space="preserve"> </w:t>
      </w:r>
      <w:r>
        <w:t xml:space="preserve">für das Vorhaben Stuttgart21 </w:t>
      </w:r>
      <w:r w:rsidR="003C6C2A">
        <w:t>an Hand des von der DB PSU erstellten</w:t>
      </w:r>
      <w:r w:rsidR="002B51A9" w:rsidRPr="002B51A9">
        <w:rPr>
          <w:b/>
        </w:rPr>
        <w:t xml:space="preserve"> </w:t>
      </w:r>
      <w:r w:rsidR="002B51A9">
        <w:rPr>
          <w:b/>
        </w:rPr>
        <w:t xml:space="preserve">T&amp;K-Berichtes </w:t>
      </w:r>
      <w:r w:rsidR="002B51A9" w:rsidRPr="002B51A9">
        <w:t>v. 27.5.2016</w:t>
      </w:r>
      <w:r w:rsidR="00C901DC">
        <w:t xml:space="preserve"> zu überprüfen</w:t>
      </w:r>
      <w:r w:rsidR="00621BCE">
        <w:t>.</w:t>
      </w:r>
      <w:r>
        <w:t xml:space="preserve"> </w:t>
      </w:r>
      <w:r w:rsidR="00322A87">
        <w:t xml:space="preserve">Die </w:t>
      </w:r>
      <w:r>
        <w:t xml:space="preserve">Prüfer </w:t>
      </w:r>
      <w:r w:rsidR="00322A87">
        <w:t>kommen da</w:t>
      </w:r>
      <w:r w:rsidR="002B51A9">
        <w:t>bei</w:t>
      </w:r>
      <w:r w:rsidR="00322A87">
        <w:t xml:space="preserve"> zu folgendem Ergebnis:</w:t>
      </w:r>
    </w:p>
    <w:p w:rsidR="00A85F8D" w:rsidRDefault="00A85F8D" w:rsidP="00A85F8D">
      <w:r w:rsidRPr="00A85F8D">
        <w:rPr>
          <w:i/>
        </w:rPr>
        <w:t>„…gemäß vorliegendem Kenntnisstand zu den bekannten und ohne Anspruch auf Vollständigkeit neu identifizierten Chancen und Risiken kann davon ausgegangen werden, dass die Gesamtkosten in einer Bandbreite von rd. 6,3 und 6,7 Mrd. €  liegen werden</w:t>
      </w:r>
      <w:r w:rsidRPr="00A85F8D">
        <w:rPr>
          <w:b/>
          <w:i/>
        </w:rPr>
        <w:t>.</w:t>
      </w:r>
      <w:r w:rsidRPr="00A85F8D">
        <w:rPr>
          <w:i/>
        </w:rPr>
        <w:t xml:space="preserve">“ </w:t>
      </w:r>
      <w:r w:rsidRPr="00A85F8D">
        <w:t>[S.131]</w:t>
      </w:r>
    </w:p>
    <w:p w:rsidR="000F5E5B" w:rsidRDefault="006C7B53" w:rsidP="00A85F8D">
      <w:r>
        <w:t>Dieser Feststellung liegen ausschließlich die von der DB PSU selber ermittelten</w:t>
      </w:r>
      <w:r w:rsidR="0045523D">
        <w:t xml:space="preserve"> Kosten des Vorhabens zugrunde, die die Prüfer überwiegend als „plausibel“ einstufen.</w:t>
      </w:r>
      <w:r w:rsidR="00A669A3">
        <w:t xml:space="preserve"> Die von den </w:t>
      </w:r>
      <w:r w:rsidR="00A669A3" w:rsidRPr="00683847">
        <w:rPr>
          <w:b/>
        </w:rPr>
        <w:t xml:space="preserve">Prüfern </w:t>
      </w:r>
      <w:r w:rsidR="00867F7E" w:rsidRPr="00683847">
        <w:rPr>
          <w:b/>
        </w:rPr>
        <w:t>ermittelten Mehrkosten</w:t>
      </w:r>
      <w:r w:rsidR="00867F7E">
        <w:t xml:space="preserve"> für einzelne Kostengruppen</w:t>
      </w:r>
      <w:r w:rsidR="00683847">
        <w:t xml:space="preserve"> wurden hingegen darin </w:t>
      </w:r>
      <w:r w:rsidR="00683847" w:rsidRPr="00A34EEF">
        <w:rPr>
          <w:b/>
        </w:rPr>
        <w:t>nicht berücksichtigt</w:t>
      </w:r>
      <w:r w:rsidR="00CA3546">
        <w:t xml:space="preserve">; </w:t>
      </w:r>
      <w:r w:rsidR="0052226D">
        <w:t xml:space="preserve">der </w:t>
      </w:r>
      <w:r w:rsidR="0052226D" w:rsidRPr="00205D2A">
        <w:rPr>
          <w:b/>
        </w:rPr>
        <w:t>Prüfbericht</w:t>
      </w:r>
      <w:r w:rsidR="00A34EEF" w:rsidRPr="00A34EEF">
        <w:t xml:space="preserve"> </w:t>
      </w:r>
      <w:r w:rsidR="00A34EEF">
        <w:t>der Wirtschaftsprüfer KPMG + Basler AG</w:t>
      </w:r>
      <w:r w:rsidR="0052226D">
        <w:t xml:space="preserve">  ist </w:t>
      </w:r>
      <w:r w:rsidR="00F36445">
        <w:t xml:space="preserve">folglich </w:t>
      </w:r>
      <w:r w:rsidR="00F36445" w:rsidRPr="00205D2A">
        <w:rPr>
          <w:b/>
        </w:rPr>
        <w:t>fehlerhaft</w:t>
      </w:r>
      <w:r w:rsidR="000F5E5B">
        <w:rPr>
          <w:b/>
        </w:rPr>
        <w:t>,</w:t>
      </w:r>
      <w:r w:rsidR="00F36445">
        <w:t xml:space="preserve"> </w:t>
      </w:r>
      <w:r w:rsidR="00FD1CEC">
        <w:t xml:space="preserve">die bescheinigte </w:t>
      </w:r>
      <w:r w:rsidR="00FD1CEC" w:rsidRPr="00F4436D">
        <w:rPr>
          <w:b/>
        </w:rPr>
        <w:t>Gesamtkosten-Prognose falsch!</w:t>
      </w:r>
      <w:r w:rsidR="00205D2A">
        <w:t xml:space="preserve"> </w:t>
      </w:r>
    </w:p>
    <w:p w:rsidR="00A85F8D" w:rsidRDefault="00F90164" w:rsidP="00FB6E68">
      <w:pPr>
        <w:pStyle w:val="Listenabsatz"/>
        <w:numPr>
          <w:ilvl w:val="0"/>
          <w:numId w:val="1"/>
        </w:numPr>
        <w:ind w:left="284" w:hanging="284"/>
        <w:rPr>
          <w:b/>
        </w:rPr>
      </w:pPr>
      <w:r w:rsidRPr="00FB6E68">
        <w:rPr>
          <w:b/>
        </w:rPr>
        <w:t>Mehrkosten „</w:t>
      </w:r>
      <w:r w:rsidR="00FB6E68" w:rsidRPr="00FB6E68">
        <w:rPr>
          <w:b/>
        </w:rPr>
        <w:t>Tunnelbau</w:t>
      </w:r>
      <w:r w:rsidR="00E16098">
        <w:rPr>
          <w:b/>
        </w:rPr>
        <w:t>schäden</w:t>
      </w:r>
      <w:r w:rsidR="00FB6E68" w:rsidRPr="00FB6E68">
        <w:rPr>
          <w:b/>
        </w:rPr>
        <w:t xml:space="preserve"> </w:t>
      </w:r>
      <w:r w:rsidR="00E16098">
        <w:rPr>
          <w:b/>
        </w:rPr>
        <w:t>durch</w:t>
      </w:r>
      <w:r w:rsidR="00FB6E68" w:rsidRPr="00FB6E68">
        <w:rPr>
          <w:b/>
        </w:rPr>
        <w:t xml:space="preserve"> A</w:t>
      </w:r>
      <w:r w:rsidRPr="00FB6E68">
        <w:rPr>
          <w:b/>
        </w:rPr>
        <w:t>nhydrit</w:t>
      </w:r>
      <w:r w:rsidR="00FB6E68" w:rsidRPr="00FB6E68">
        <w:rPr>
          <w:b/>
        </w:rPr>
        <w:t>“</w:t>
      </w:r>
    </w:p>
    <w:p w:rsidR="004A290E" w:rsidRDefault="00563FF2" w:rsidP="00707B88">
      <w:pPr>
        <w:pStyle w:val="Listenabsatz"/>
        <w:ind w:left="0"/>
      </w:pPr>
      <w:r>
        <w:t>Die P</w:t>
      </w:r>
      <w:r w:rsidRPr="0054450F">
        <w:t>rüfer KPMG + Basler AG</w:t>
      </w:r>
      <w:r>
        <w:t xml:space="preserve"> weisen in ihrem Prüfbericht</w:t>
      </w:r>
      <w:r w:rsidR="005242E2">
        <w:t xml:space="preserve"> im Abschn. 5.1</w:t>
      </w:r>
      <w:r w:rsidR="00BD454F">
        <w:t xml:space="preserve"> „Bauverfahren im Anhydrit“</w:t>
      </w:r>
      <w:r>
        <w:t xml:space="preserve"> auf das von der PSU </w:t>
      </w:r>
      <w:r w:rsidR="003052C1">
        <w:t xml:space="preserve">bislang </w:t>
      </w:r>
      <w:r w:rsidR="003052C1" w:rsidRPr="00FB78BB">
        <w:rPr>
          <w:b/>
        </w:rPr>
        <w:t xml:space="preserve">unterschätzte Risiko </w:t>
      </w:r>
      <w:r w:rsidR="003052C1" w:rsidRPr="000C5FF6">
        <w:t>von</w:t>
      </w:r>
      <w:r w:rsidR="003052C1" w:rsidRPr="00FB78BB">
        <w:rPr>
          <w:b/>
        </w:rPr>
        <w:t xml:space="preserve"> Tunnelbauschäden durch aufquellenden Anhydrit</w:t>
      </w:r>
      <w:r w:rsidR="003052C1">
        <w:t xml:space="preserve"> hin</w:t>
      </w:r>
      <w:r w:rsidR="00966E69">
        <w:t>. Die</w:t>
      </w:r>
      <w:r w:rsidR="00721A03">
        <w:t xml:space="preserve"> dazu </w:t>
      </w:r>
      <w:r w:rsidR="00C05CEA">
        <w:t xml:space="preserve">von den Prüfern </w:t>
      </w:r>
      <w:r w:rsidR="00721A03">
        <w:t>angegebenen Schätzkosten</w:t>
      </w:r>
      <w:r w:rsidR="00FB78BB">
        <w:t xml:space="preserve"> be</w:t>
      </w:r>
      <w:r w:rsidR="00721A03">
        <w:t>treffen</w:t>
      </w:r>
      <w:r w:rsidR="00C05CEA">
        <w:t xml:space="preserve"> ausschließlich die </w:t>
      </w:r>
      <w:r w:rsidR="00C05CEA" w:rsidRPr="00320F17">
        <w:rPr>
          <w:b/>
        </w:rPr>
        <w:t>Schadensbeseitigung</w:t>
      </w:r>
      <w:r w:rsidR="00C05CEA">
        <w:t>; diese sind u</w:t>
      </w:r>
      <w:r w:rsidR="00F4436D">
        <w:t xml:space="preserve">nabhängig und </w:t>
      </w:r>
      <w:r w:rsidR="00F4436D" w:rsidRPr="00EA1A6F">
        <w:rPr>
          <w:b/>
        </w:rPr>
        <w:t>zusätzlich</w:t>
      </w:r>
      <w:r w:rsidR="00F4436D">
        <w:t xml:space="preserve"> zu den von der PSU </w:t>
      </w:r>
      <w:r w:rsidR="00476023">
        <w:t xml:space="preserve">als </w:t>
      </w:r>
      <w:r w:rsidR="000B5862">
        <w:t>„</w:t>
      </w:r>
      <w:r w:rsidR="00476023">
        <w:t>Risiko Anhydrit</w:t>
      </w:r>
      <w:r w:rsidR="000B5862">
        <w:t xml:space="preserve">“ vorgesehenen </w:t>
      </w:r>
      <w:r w:rsidR="002D20CB">
        <w:t xml:space="preserve">144 Mio. € </w:t>
      </w:r>
      <w:r w:rsidR="00A767D8">
        <w:t>Mehr</w:t>
      </w:r>
      <w:r w:rsidR="000B5862">
        <w:t xml:space="preserve">kosten für </w:t>
      </w:r>
      <w:r w:rsidR="00BD33D1">
        <w:t>ein geändertes,</w:t>
      </w:r>
      <w:r w:rsidR="00305813">
        <w:t xml:space="preserve"> </w:t>
      </w:r>
      <w:proofErr w:type="spellStart"/>
      <w:r w:rsidR="00305813">
        <w:t>angepaßte</w:t>
      </w:r>
      <w:r w:rsidR="00456ED9">
        <w:t>s</w:t>
      </w:r>
      <w:proofErr w:type="spellEnd"/>
      <w:r w:rsidR="00305813">
        <w:t xml:space="preserve"> Tunnelbauverfahren</w:t>
      </w:r>
      <w:r w:rsidR="00BD33D1">
        <w:t>.</w:t>
      </w:r>
      <w:r w:rsidR="0054450F">
        <w:t xml:space="preserve"> </w:t>
      </w:r>
      <w:r w:rsidR="006D1AF0" w:rsidRPr="006D1AF0">
        <w:t>[S.41 - 52]</w:t>
      </w:r>
    </w:p>
    <w:p w:rsidR="00607391" w:rsidRDefault="00DF3911" w:rsidP="00707B88">
      <w:pPr>
        <w:pStyle w:val="Listenabsatz"/>
        <w:ind w:left="0"/>
      </w:pPr>
      <w:r>
        <w:t xml:space="preserve">Irgendwelche </w:t>
      </w:r>
      <w:r w:rsidR="00607391">
        <w:t xml:space="preserve">Kosten für die </w:t>
      </w:r>
      <w:r w:rsidR="00607391" w:rsidRPr="00320F17">
        <w:rPr>
          <w:b/>
        </w:rPr>
        <w:t>Schadensbeseitigung</w:t>
      </w:r>
      <w:r w:rsidR="0019757F">
        <w:rPr>
          <w:b/>
        </w:rPr>
        <w:t xml:space="preserve"> </w:t>
      </w:r>
      <w:r w:rsidR="0019757F" w:rsidRPr="0019757F">
        <w:t>sind jedoch</w:t>
      </w:r>
      <w:r w:rsidR="0019757F">
        <w:rPr>
          <w:b/>
        </w:rPr>
        <w:t xml:space="preserve"> </w:t>
      </w:r>
      <w:r w:rsidR="0019757F" w:rsidRPr="0019757F">
        <w:t xml:space="preserve">von </w:t>
      </w:r>
      <w:r w:rsidR="0019757F">
        <w:t xml:space="preserve">der PSU </w:t>
      </w:r>
      <w:r w:rsidR="0019757F" w:rsidRPr="000226DE">
        <w:rPr>
          <w:b/>
        </w:rPr>
        <w:t>nicht vorgesehe</w:t>
      </w:r>
      <w:r w:rsidRPr="000226DE">
        <w:rPr>
          <w:b/>
        </w:rPr>
        <w:t>n</w:t>
      </w:r>
      <w:r>
        <w:t xml:space="preserve"> und demzufolge von den Prüfern auch </w:t>
      </w:r>
      <w:r w:rsidRPr="000226DE">
        <w:rPr>
          <w:b/>
        </w:rPr>
        <w:t xml:space="preserve">nicht in der Gesamtkosten-Bewertung </w:t>
      </w:r>
      <w:proofErr w:type="spellStart"/>
      <w:r w:rsidRPr="000226DE">
        <w:rPr>
          <w:b/>
        </w:rPr>
        <w:t>erfaßt</w:t>
      </w:r>
      <w:proofErr w:type="spellEnd"/>
      <w:r>
        <w:t>; die</w:t>
      </w:r>
      <w:r w:rsidR="003D73B9">
        <w:t xml:space="preserve"> </w:t>
      </w:r>
      <w:r w:rsidR="003D73B9" w:rsidRPr="00DC0D45">
        <w:rPr>
          <w:b/>
        </w:rPr>
        <w:t xml:space="preserve">Kosten-Prognose </w:t>
      </w:r>
      <w:r w:rsidR="003D73B9">
        <w:t xml:space="preserve">der Prüfer </w:t>
      </w:r>
      <w:r w:rsidR="003D73B9" w:rsidRPr="003D73B9">
        <w:t xml:space="preserve"> </w:t>
      </w:r>
      <w:r w:rsidR="003D73B9" w:rsidRPr="00DC0D45">
        <w:rPr>
          <w:b/>
        </w:rPr>
        <w:t>KPMG + Basler AG</w:t>
      </w:r>
      <w:r w:rsidR="00DC0D45" w:rsidRPr="00DC0D45">
        <w:rPr>
          <w:b/>
        </w:rPr>
        <w:t xml:space="preserve"> </w:t>
      </w:r>
      <w:r w:rsidR="00DC0D45">
        <w:t xml:space="preserve">ist also </w:t>
      </w:r>
      <w:r w:rsidR="00DC0D45" w:rsidRPr="00DC0D45">
        <w:rPr>
          <w:b/>
        </w:rPr>
        <w:t>fehlerhaft</w:t>
      </w:r>
      <w:r w:rsidR="00DC0D45">
        <w:t>!</w:t>
      </w:r>
    </w:p>
    <w:p w:rsidR="000226DE" w:rsidRPr="00243F81" w:rsidRDefault="000226DE" w:rsidP="00707B88">
      <w:pPr>
        <w:pStyle w:val="Listenabsatz"/>
        <w:ind w:left="0"/>
        <w:rPr>
          <w:sz w:val="16"/>
          <w:szCs w:val="16"/>
        </w:rPr>
      </w:pPr>
    </w:p>
    <w:p w:rsidR="00C874D9" w:rsidRDefault="000226DE" w:rsidP="00707B88">
      <w:pPr>
        <w:pStyle w:val="Listenabsatz"/>
        <w:ind w:left="0"/>
      </w:pPr>
      <w:r>
        <w:t>Z</w:t>
      </w:r>
      <w:r w:rsidR="00AE0B75">
        <w:t xml:space="preserve">u den </w:t>
      </w:r>
      <w:r w:rsidR="004947BD">
        <w:t xml:space="preserve">Risiken der </w:t>
      </w:r>
      <w:r w:rsidR="004947BD" w:rsidRPr="00FB78BB">
        <w:rPr>
          <w:b/>
        </w:rPr>
        <w:t>Tunnelbauschäden durch aufquellenden Anhydrit</w:t>
      </w:r>
      <w:r w:rsidR="00445DEF">
        <w:rPr>
          <w:b/>
        </w:rPr>
        <w:t xml:space="preserve"> </w:t>
      </w:r>
      <w:r>
        <w:t>machen</w:t>
      </w:r>
      <w:r w:rsidR="00E63701" w:rsidRPr="00E63701">
        <w:t xml:space="preserve"> </w:t>
      </w:r>
      <w:r w:rsidR="00E63701">
        <w:t>die Prüfer</w:t>
      </w:r>
      <w:r>
        <w:t xml:space="preserve"> </w:t>
      </w:r>
      <w:r w:rsidR="00445DEF">
        <w:t>folgende Angaben:</w:t>
      </w:r>
      <w:r w:rsidR="006D1AF0">
        <w:tab/>
      </w:r>
      <w:r w:rsidR="006D1AF0">
        <w:tab/>
      </w:r>
      <w:r w:rsidR="00C874D9">
        <w:tab/>
      </w:r>
      <w:r w:rsidR="00C874D9">
        <w:tab/>
      </w:r>
      <w:r w:rsidR="00C874D9">
        <w:tab/>
      </w:r>
      <w:r w:rsidR="00C874D9">
        <w:tab/>
      </w:r>
      <w:r w:rsidR="00C874D9">
        <w:tab/>
      </w:r>
      <w:r w:rsidR="00C874D9">
        <w:tab/>
      </w:r>
      <w:r w:rsidR="00C874D9">
        <w:tab/>
      </w:r>
      <w:r w:rsidR="00C874D9">
        <w:tab/>
      </w:r>
      <w:r w:rsidR="00C874D9">
        <w:tab/>
      </w:r>
      <w:proofErr w:type="spellStart"/>
      <w:r w:rsidR="00C874D9">
        <w:t>wahrscheinl</w:t>
      </w:r>
      <w:proofErr w:type="spellEnd"/>
      <w:r w:rsidR="00C874D9">
        <w:t>.</w:t>
      </w:r>
    </w:p>
    <w:p w:rsidR="00AE0B75" w:rsidRPr="004F781D" w:rsidRDefault="007D21C9" w:rsidP="00707B88">
      <w:pPr>
        <w:pStyle w:val="Listenabsatz"/>
        <w:spacing w:line="240" w:lineRule="auto"/>
        <w:ind w:left="0"/>
        <w:rPr>
          <w:b/>
        </w:rPr>
      </w:pPr>
      <w:r>
        <w:t xml:space="preserve">   </w:t>
      </w:r>
      <w:r w:rsidR="00426697">
        <w:t>(</w:t>
      </w:r>
      <w:r>
        <w:t xml:space="preserve">ETW </w:t>
      </w:r>
      <w:r w:rsidR="00426697">
        <w:t>= Eintrittswahrscheinlichkeit)</w:t>
      </w:r>
      <w:r w:rsidR="00CF1CDC">
        <w:tab/>
      </w:r>
      <w:r w:rsidR="00CF1CDC">
        <w:tab/>
      </w:r>
      <w:r w:rsidR="00CF1CDC">
        <w:tab/>
      </w:r>
      <w:r w:rsidR="00CF1CDC">
        <w:tab/>
      </w:r>
      <w:r w:rsidR="00C874D9">
        <w:tab/>
      </w:r>
      <w:r w:rsidR="00C874D9">
        <w:tab/>
      </w:r>
      <w:r w:rsidR="00CF1CDC" w:rsidRPr="004F781D">
        <w:rPr>
          <w:b/>
        </w:rPr>
        <w:t>Ges. Kosten</w:t>
      </w:r>
      <w:r w:rsidR="003F5CB6" w:rsidRPr="004F781D">
        <w:rPr>
          <w:b/>
        </w:rPr>
        <w:tab/>
      </w:r>
      <w:r w:rsidR="004F781D">
        <w:rPr>
          <w:b/>
        </w:rPr>
        <w:t xml:space="preserve">    </w:t>
      </w:r>
      <w:proofErr w:type="spellStart"/>
      <w:r w:rsidR="003F5CB6" w:rsidRPr="004F781D">
        <w:rPr>
          <w:b/>
        </w:rPr>
        <w:t>Kosten</w:t>
      </w:r>
      <w:proofErr w:type="spellEnd"/>
    </w:p>
    <w:p w:rsidR="00445DEF" w:rsidRDefault="00C8051D" w:rsidP="00445DEF">
      <w:pPr>
        <w:pStyle w:val="Listenabsatz"/>
        <w:numPr>
          <w:ilvl w:val="0"/>
          <w:numId w:val="2"/>
        </w:numPr>
        <w:ind w:left="142" w:hanging="142"/>
      </w:pPr>
      <w:r>
        <w:t xml:space="preserve">Risiko </w:t>
      </w:r>
      <w:r w:rsidR="00445DEF">
        <w:t>1</w:t>
      </w:r>
      <w:r w:rsidR="00CC37C1">
        <w:t xml:space="preserve">: </w:t>
      </w:r>
      <w:r w:rsidR="00812C9E">
        <w:t>Schäden an Spritzbeton-Ausbruchsicherung</w:t>
      </w:r>
      <w:r w:rsidR="005F17A8">
        <w:t xml:space="preserve"> / ETW 20-50%:</w:t>
      </w:r>
      <w:r w:rsidR="005F17A8">
        <w:tab/>
      </w:r>
      <w:r w:rsidR="005F17A8">
        <w:tab/>
      </w:r>
      <w:r w:rsidR="006A2C7E">
        <w:t xml:space="preserve">  </w:t>
      </w:r>
      <w:r w:rsidR="00B84430">
        <w:t>4,5 Mio. €</w:t>
      </w:r>
      <w:r w:rsidR="00B84430">
        <w:tab/>
        <w:t xml:space="preserve">  </w:t>
      </w:r>
      <w:r w:rsidR="00CF1CDC">
        <w:t>2</w:t>
      </w:r>
      <w:r w:rsidR="00B84430">
        <w:t>,</w:t>
      </w:r>
      <w:r w:rsidR="00CF1CDC">
        <w:t>0</w:t>
      </w:r>
      <w:r w:rsidR="00B84430">
        <w:t xml:space="preserve"> Mio. €</w:t>
      </w:r>
    </w:p>
    <w:p w:rsidR="005B342A" w:rsidRDefault="00C8051D" w:rsidP="00445DEF">
      <w:pPr>
        <w:pStyle w:val="Listenabsatz"/>
        <w:numPr>
          <w:ilvl w:val="0"/>
          <w:numId w:val="2"/>
        </w:numPr>
        <w:ind w:left="142" w:hanging="142"/>
      </w:pPr>
      <w:r>
        <w:t xml:space="preserve">Risiko </w:t>
      </w:r>
      <w:r w:rsidR="005B342A">
        <w:t>2A</w:t>
      </w:r>
      <w:r w:rsidR="005B342A" w:rsidRPr="005B342A">
        <w:t xml:space="preserve">: </w:t>
      </w:r>
      <w:r w:rsidR="003B3679">
        <w:t>Heb</w:t>
      </w:r>
      <w:r w:rsidR="005B342A" w:rsidRPr="005B342A">
        <w:t xml:space="preserve">ung </w:t>
      </w:r>
      <w:r w:rsidR="003B3679">
        <w:t>Innengewölbe</w:t>
      </w:r>
      <w:r w:rsidR="00DC0A80">
        <w:t xml:space="preserve"> &lt;10 cm vor Einbau BTO</w:t>
      </w:r>
      <w:r w:rsidR="005B342A" w:rsidRPr="005B342A">
        <w:t xml:space="preserve">/ ETW </w:t>
      </w:r>
      <w:r w:rsidR="00DC0A80">
        <w:t>5</w:t>
      </w:r>
      <w:r w:rsidR="005B342A" w:rsidRPr="005B342A">
        <w:t>0-</w:t>
      </w:r>
      <w:r w:rsidR="00DC0A80">
        <w:t>7</w:t>
      </w:r>
      <w:r w:rsidR="005B342A" w:rsidRPr="005B342A">
        <w:t>0%:</w:t>
      </w:r>
      <w:r>
        <w:tab/>
      </w:r>
      <w:r w:rsidR="006A2C7E">
        <w:t xml:space="preserve">  </w:t>
      </w:r>
      <w:r w:rsidR="009A3463">
        <w:t>3</w:t>
      </w:r>
      <w:r w:rsidR="005B342A" w:rsidRPr="005B342A">
        <w:t>,5 Mio. €</w:t>
      </w:r>
      <w:r w:rsidR="005B342A" w:rsidRPr="005B342A">
        <w:tab/>
        <w:t xml:space="preserve">  2,0 Mio. €</w:t>
      </w:r>
    </w:p>
    <w:p w:rsidR="005B342A" w:rsidRDefault="003B3679" w:rsidP="00445DEF">
      <w:pPr>
        <w:pStyle w:val="Listenabsatz"/>
        <w:numPr>
          <w:ilvl w:val="0"/>
          <w:numId w:val="2"/>
        </w:numPr>
        <w:ind w:left="142" w:hanging="142"/>
      </w:pPr>
      <w:r>
        <w:t xml:space="preserve">Risiko </w:t>
      </w:r>
      <w:r w:rsidR="00C8051D">
        <w:t>2B</w:t>
      </w:r>
      <w:r w:rsidR="005B342A" w:rsidRPr="005B342A">
        <w:t xml:space="preserve">: </w:t>
      </w:r>
      <w:r w:rsidR="009A3463">
        <w:t>Heb</w:t>
      </w:r>
      <w:r w:rsidR="009A3463" w:rsidRPr="005B342A">
        <w:t xml:space="preserve">ung </w:t>
      </w:r>
      <w:r w:rsidR="009A3463">
        <w:t xml:space="preserve">Innengewölbe &lt;10 cm </w:t>
      </w:r>
      <w:r w:rsidR="00FE20F8">
        <w:t>nach</w:t>
      </w:r>
      <w:r w:rsidR="009A3463">
        <w:t xml:space="preserve"> Einbau BTO</w:t>
      </w:r>
      <w:r w:rsidR="009A3463" w:rsidRPr="005B342A">
        <w:t xml:space="preserve"> </w:t>
      </w:r>
      <w:r w:rsidR="005B342A" w:rsidRPr="005B342A">
        <w:t xml:space="preserve">/ ETW </w:t>
      </w:r>
      <w:r w:rsidR="00FE20F8">
        <w:t>1</w:t>
      </w:r>
      <w:r w:rsidR="005B342A" w:rsidRPr="005B342A">
        <w:t>0-</w:t>
      </w:r>
      <w:r w:rsidR="00FE20F8">
        <w:t>2</w:t>
      </w:r>
      <w:r w:rsidR="005B342A" w:rsidRPr="005B342A">
        <w:t>0%:</w:t>
      </w:r>
      <w:r>
        <w:tab/>
      </w:r>
      <w:r w:rsidR="005B342A" w:rsidRPr="005B342A">
        <w:t>4</w:t>
      </w:r>
      <w:r w:rsidR="00FE20F8">
        <w:t>1</w:t>
      </w:r>
      <w:r w:rsidR="005B342A" w:rsidRPr="005B342A">
        <w:t>,</w:t>
      </w:r>
      <w:r w:rsidR="008433C6">
        <w:t>4</w:t>
      </w:r>
      <w:r w:rsidR="005B342A" w:rsidRPr="005B342A">
        <w:t xml:space="preserve"> Mio. €</w:t>
      </w:r>
      <w:r w:rsidR="005B342A" w:rsidRPr="005B342A">
        <w:tab/>
        <w:t xml:space="preserve">  </w:t>
      </w:r>
      <w:r w:rsidR="008433C6">
        <w:t>6</w:t>
      </w:r>
      <w:r w:rsidR="005B342A" w:rsidRPr="005B342A">
        <w:t>,</w:t>
      </w:r>
      <w:r w:rsidR="008433C6">
        <w:t>1</w:t>
      </w:r>
      <w:r w:rsidR="005B342A" w:rsidRPr="005B342A">
        <w:t xml:space="preserve"> Mio. €</w:t>
      </w:r>
    </w:p>
    <w:p w:rsidR="005B342A" w:rsidRPr="00445DEF" w:rsidRDefault="003B3679" w:rsidP="00445DEF">
      <w:pPr>
        <w:pStyle w:val="Listenabsatz"/>
        <w:numPr>
          <w:ilvl w:val="0"/>
          <w:numId w:val="2"/>
        </w:numPr>
        <w:ind w:left="142" w:hanging="142"/>
      </w:pPr>
      <w:r>
        <w:t xml:space="preserve">Risiko </w:t>
      </w:r>
      <w:r w:rsidR="00C8051D">
        <w:t>3</w:t>
      </w:r>
      <w:r w:rsidR="005B342A" w:rsidRPr="005B342A">
        <w:t xml:space="preserve">: </w:t>
      </w:r>
      <w:r w:rsidR="009A1E88">
        <w:t>H</w:t>
      </w:r>
      <w:r w:rsidR="00D302FC">
        <w:t>e</w:t>
      </w:r>
      <w:r w:rsidR="009A1E88">
        <w:t>bungsrisiken &gt;10 %</w:t>
      </w:r>
      <w:r w:rsidR="005B342A" w:rsidRPr="005B342A">
        <w:t xml:space="preserve"> / ETW </w:t>
      </w:r>
      <w:r w:rsidR="009A1E88">
        <w:t>0,5</w:t>
      </w:r>
      <w:r w:rsidR="005B342A" w:rsidRPr="005B342A">
        <w:t>-</w:t>
      </w:r>
      <w:r w:rsidR="009A1E88">
        <w:t>13,</w:t>
      </w:r>
      <w:r w:rsidR="005B342A" w:rsidRPr="005B342A">
        <w:t>50</w:t>
      </w:r>
      <w:r w:rsidR="009A1E88">
        <w:t xml:space="preserve"> </w:t>
      </w:r>
      <w:r w:rsidR="005B342A" w:rsidRPr="005B342A">
        <w:t>%</w:t>
      </w:r>
      <w:r w:rsidR="009A1E88">
        <w:t xml:space="preserve"> je Abschnitt</w:t>
      </w:r>
      <w:r w:rsidR="005B342A" w:rsidRPr="005B342A">
        <w:t>:</w:t>
      </w:r>
      <w:r w:rsidR="00984254">
        <w:t xml:space="preserve"> 195 Mio. €</w:t>
      </w:r>
      <w:r w:rsidR="006A2C7E">
        <w:t xml:space="preserve">    </w:t>
      </w:r>
      <w:r w:rsidR="006A2C7E" w:rsidRPr="003321B0">
        <w:rPr>
          <w:u w:val="single"/>
        </w:rPr>
        <w:t>1.36</w:t>
      </w:r>
      <w:r w:rsidR="003321B0" w:rsidRPr="003321B0">
        <w:rPr>
          <w:u w:val="single"/>
        </w:rPr>
        <w:t>5 Mio. €</w:t>
      </w:r>
      <w:r w:rsidR="003321B0">
        <w:tab/>
      </w:r>
      <w:r w:rsidR="003321B0" w:rsidRPr="003321B0">
        <w:rPr>
          <w:u w:val="single"/>
        </w:rPr>
        <w:t>54</w:t>
      </w:r>
      <w:r w:rsidR="005B342A" w:rsidRPr="003321B0">
        <w:rPr>
          <w:u w:val="single"/>
        </w:rPr>
        <w:t>,0 Mio. €</w:t>
      </w:r>
    </w:p>
    <w:p w:rsidR="004A290E" w:rsidRDefault="003321B0" w:rsidP="00666185">
      <w:pPr>
        <w:pStyle w:val="Listenabsatz"/>
        <w:ind w:left="4956" w:firstLine="708"/>
        <w:rPr>
          <w:b/>
        </w:rPr>
      </w:pPr>
      <w:r>
        <w:rPr>
          <w:b/>
        </w:rPr>
        <w:t>Summe:</w:t>
      </w:r>
      <w:r w:rsidR="00666185">
        <w:rPr>
          <w:b/>
        </w:rPr>
        <w:t xml:space="preserve">           1.415 Mio. €</w:t>
      </w:r>
      <w:r w:rsidR="00666185">
        <w:rPr>
          <w:b/>
        </w:rPr>
        <w:tab/>
      </w:r>
      <w:r w:rsidR="00BD5BCE">
        <w:rPr>
          <w:b/>
        </w:rPr>
        <w:t>64,1 Mio.€</w:t>
      </w:r>
    </w:p>
    <w:p w:rsidR="00AB6FE8" w:rsidRDefault="004E589E" w:rsidP="004A290E">
      <w:pPr>
        <w:pStyle w:val="Listenabsatz"/>
        <w:ind w:left="0"/>
      </w:pPr>
      <w:r>
        <w:t>Die o.g. „</w:t>
      </w:r>
      <w:r w:rsidRPr="002D1D2F">
        <w:rPr>
          <w:b/>
        </w:rPr>
        <w:t>Gesamtkosten</w:t>
      </w:r>
      <w:r>
        <w:t xml:space="preserve">“ </w:t>
      </w:r>
      <w:r w:rsidR="00A116F7">
        <w:t xml:space="preserve"> </w:t>
      </w:r>
      <w:r w:rsidR="00A116F7" w:rsidRPr="00255378">
        <w:rPr>
          <w:b/>
          <w:u w:val="single"/>
        </w:rPr>
        <w:t>1.415 Mio. €</w:t>
      </w:r>
      <w:r w:rsidR="00A116F7">
        <w:rPr>
          <w:b/>
        </w:rPr>
        <w:t xml:space="preserve"> </w:t>
      </w:r>
      <w:r>
        <w:t xml:space="preserve">stellen die Aufsummierung aller hier </w:t>
      </w:r>
      <w:r w:rsidR="000F2DB9">
        <w:t>als</w:t>
      </w:r>
      <w:r>
        <w:t xml:space="preserve"> denkbar </w:t>
      </w:r>
      <w:proofErr w:type="spellStart"/>
      <w:r>
        <w:t>angese</w:t>
      </w:r>
      <w:r w:rsidR="00545CB0">
        <w:t>setzt</w:t>
      </w:r>
      <w:r>
        <w:t>e</w:t>
      </w:r>
      <w:r w:rsidR="002D1D2F">
        <w:t>n</w:t>
      </w:r>
      <w:proofErr w:type="spellEnd"/>
      <w:r w:rsidR="002D1D2F">
        <w:t xml:space="preserve"> Tunnelschäden dar. </w:t>
      </w:r>
      <w:r w:rsidR="00090986">
        <w:t>Auch wenn d</w:t>
      </w:r>
      <w:r w:rsidR="000F2DB9">
        <w:t>as Eintreten aller diese</w:t>
      </w:r>
      <w:r w:rsidR="008C213C">
        <w:t>r</w:t>
      </w:r>
      <w:r w:rsidR="000F2DB9">
        <w:t xml:space="preserve"> Risiken</w:t>
      </w:r>
      <w:r w:rsidR="002D1D2F">
        <w:t xml:space="preserve"> </w:t>
      </w:r>
      <w:r w:rsidR="000F2DB9">
        <w:t xml:space="preserve">als </w:t>
      </w:r>
      <w:r w:rsidR="0020273B">
        <w:t>unwahrscheinlich angesehen</w:t>
      </w:r>
      <w:r w:rsidR="004B5B1B" w:rsidRPr="004B5B1B">
        <w:t xml:space="preserve"> </w:t>
      </w:r>
      <w:r w:rsidR="004B5B1B">
        <w:t>wird</w:t>
      </w:r>
      <w:r w:rsidR="00E158B0">
        <w:t xml:space="preserve">, </w:t>
      </w:r>
      <w:r w:rsidR="007E29BE">
        <w:t xml:space="preserve">auszuschließen sind sie nicht; deshalb </w:t>
      </w:r>
      <w:r w:rsidR="00E158B0">
        <w:t xml:space="preserve">müssen diese </w:t>
      </w:r>
      <w:r w:rsidR="006A5985" w:rsidRPr="006B4869">
        <w:rPr>
          <w:b/>
        </w:rPr>
        <w:t>Schadenskosten</w:t>
      </w:r>
      <w:r w:rsidR="006A5985">
        <w:t xml:space="preserve"> </w:t>
      </w:r>
      <w:r w:rsidR="00E158B0">
        <w:t>als</w:t>
      </w:r>
      <w:r w:rsidR="006A5985">
        <w:t xml:space="preserve"> </w:t>
      </w:r>
      <w:r w:rsidR="000255CF">
        <w:t xml:space="preserve">ein </w:t>
      </w:r>
      <w:r w:rsidR="006A5985" w:rsidRPr="006B4869">
        <w:rPr>
          <w:b/>
        </w:rPr>
        <w:t>oberer Wert</w:t>
      </w:r>
      <w:r w:rsidR="006A5985">
        <w:t xml:space="preserve"> im </w:t>
      </w:r>
      <w:r w:rsidR="006A5985" w:rsidRPr="006B4869">
        <w:rPr>
          <w:b/>
        </w:rPr>
        <w:t>Risiko-Puffer</w:t>
      </w:r>
      <w:r w:rsidR="007E29BE">
        <w:t xml:space="preserve"> berücksichtigt werden</w:t>
      </w:r>
      <w:r w:rsidR="00A116F7">
        <w:t>.</w:t>
      </w:r>
      <w:r w:rsidR="0020273B">
        <w:t xml:space="preserve"> </w:t>
      </w:r>
    </w:p>
    <w:p w:rsidR="00D77B27" w:rsidRDefault="009D78ED" w:rsidP="004A290E">
      <w:pPr>
        <w:pStyle w:val="Listenabsatz"/>
        <w:ind w:left="0"/>
      </w:pPr>
      <w:r w:rsidRPr="009D78ED">
        <w:t>Die „</w:t>
      </w:r>
      <w:r w:rsidRPr="002D1D2F">
        <w:rPr>
          <w:b/>
        </w:rPr>
        <w:t>wahrscheinlichen Kosten</w:t>
      </w:r>
      <w:r>
        <w:t xml:space="preserve">“ </w:t>
      </w:r>
      <w:r w:rsidR="007D21C9">
        <w:t>sind</w:t>
      </w:r>
      <w:r w:rsidR="00BB57B3">
        <w:t xml:space="preserve"> die mit der Eintrittswahrscheinlichkeit ETW</w:t>
      </w:r>
      <w:r w:rsidR="00F427AA">
        <w:t xml:space="preserve"> </w:t>
      </w:r>
      <w:r w:rsidR="00E705A2">
        <w:t>heruntergerechneten</w:t>
      </w:r>
      <w:r w:rsidR="00F427AA">
        <w:t xml:space="preserve"> voraussichtlichen Gesamt-Schadenskosten</w:t>
      </w:r>
      <w:r w:rsidR="0091711A">
        <w:t xml:space="preserve">, die insgesamt </w:t>
      </w:r>
      <w:r w:rsidR="0091711A" w:rsidRPr="00CA57C3">
        <w:rPr>
          <w:b/>
        </w:rPr>
        <w:t>64,1 Mio. €</w:t>
      </w:r>
      <w:r w:rsidR="0091711A">
        <w:t xml:space="preserve"> ergeben</w:t>
      </w:r>
      <w:r w:rsidR="00CA57C3">
        <w:t>.</w:t>
      </w:r>
      <w:r w:rsidR="0029123B">
        <w:t xml:space="preserve"> </w:t>
      </w:r>
      <w:r w:rsidR="00201CBF">
        <w:t>D</w:t>
      </w:r>
      <w:r w:rsidR="0029123B">
        <w:t xml:space="preserve">iese </w:t>
      </w:r>
      <w:r w:rsidR="00E04CA6">
        <w:t xml:space="preserve">sind </w:t>
      </w:r>
      <w:r w:rsidR="00556844">
        <w:t xml:space="preserve">als ein </w:t>
      </w:r>
      <w:r w:rsidR="00556844">
        <w:rPr>
          <w:b/>
        </w:rPr>
        <w:t>unt</w:t>
      </w:r>
      <w:r w:rsidR="00556844" w:rsidRPr="006B4869">
        <w:rPr>
          <w:b/>
        </w:rPr>
        <w:t>erer Wert</w:t>
      </w:r>
      <w:r w:rsidR="00556844">
        <w:t xml:space="preserve"> im </w:t>
      </w:r>
      <w:r w:rsidR="00556844" w:rsidRPr="006B4869">
        <w:rPr>
          <w:b/>
        </w:rPr>
        <w:t>Risiko-Puffer</w:t>
      </w:r>
      <w:r w:rsidR="0029123B">
        <w:t xml:space="preserve"> </w:t>
      </w:r>
      <w:r w:rsidR="00556844">
        <w:t xml:space="preserve">zu </w:t>
      </w:r>
      <w:r w:rsidR="0029123B">
        <w:t>berücksichtigen</w:t>
      </w:r>
      <w:r w:rsidR="00945259">
        <w:t>.</w:t>
      </w:r>
      <w:r w:rsidR="005C5111">
        <w:t xml:space="preserve"> </w:t>
      </w:r>
    </w:p>
    <w:p w:rsidR="001B3957" w:rsidRDefault="0099322B" w:rsidP="004A290E">
      <w:pPr>
        <w:pStyle w:val="Listenabsatz"/>
        <w:ind w:left="0"/>
      </w:pPr>
      <w:r>
        <w:t xml:space="preserve">Als </w:t>
      </w:r>
      <w:r w:rsidRPr="004B2860">
        <w:rPr>
          <w:b/>
        </w:rPr>
        <w:t>Mindest</w:t>
      </w:r>
      <w:r w:rsidR="00E324B5" w:rsidRPr="004B2860">
        <w:rPr>
          <w:b/>
        </w:rPr>
        <w:t>-Vorsorge</w:t>
      </w:r>
      <w:r w:rsidR="00E324B5">
        <w:t xml:space="preserve"> gegen Anhydrit-Quellschäden an den Tunneln sollte deshalb </w:t>
      </w:r>
      <w:r w:rsidR="00EF4365">
        <w:t>wenig</w:t>
      </w:r>
      <w:r w:rsidR="00E324B5">
        <w:t xml:space="preserve">stens ein Ereignis der Klasse </w:t>
      </w:r>
      <w:r w:rsidR="003F6B46">
        <w:t xml:space="preserve">R3 </w:t>
      </w:r>
      <w:r w:rsidR="009541F4">
        <w:t>zuzüglich</w:t>
      </w:r>
      <w:r w:rsidR="003F6B46">
        <w:t xml:space="preserve"> die </w:t>
      </w:r>
      <w:r w:rsidR="003F6B46" w:rsidRPr="00EF4365">
        <w:rPr>
          <w:b/>
        </w:rPr>
        <w:t>Summe</w:t>
      </w:r>
      <w:r w:rsidR="003F6B46">
        <w:t xml:space="preserve"> der </w:t>
      </w:r>
      <w:r w:rsidR="003F6B46" w:rsidRPr="009D78ED">
        <w:t>„</w:t>
      </w:r>
      <w:r w:rsidR="003F6B46" w:rsidRPr="002D1D2F">
        <w:rPr>
          <w:b/>
        </w:rPr>
        <w:t>wahrscheinlichen Kosten</w:t>
      </w:r>
      <w:r w:rsidR="009541F4">
        <w:t>“ d</w:t>
      </w:r>
      <w:r w:rsidR="003F6B46">
        <w:t>e</w:t>
      </w:r>
      <w:r w:rsidR="009541F4">
        <w:t>r</w:t>
      </w:r>
      <w:r w:rsidR="003F6B46">
        <w:t xml:space="preserve"> übrigen Risiko-Klassen </w:t>
      </w:r>
      <w:r w:rsidR="00223CA6">
        <w:t>vorgesehen</w:t>
      </w:r>
      <w:r w:rsidR="003F6B46">
        <w:t xml:space="preserve"> werden, also</w:t>
      </w:r>
      <w:r w:rsidR="008E5EFF">
        <w:t xml:space="preserve"> </w:t>
      </w:r>
      <w:r w:rsidR="008E5EFF" w:rsidRPr="00787EC6">
        <w:rPr>
          <w:b/>
          <w:u w:val="single"/>
        </w:rPr>
        <w:t>215 Mio. €.</w:t>
      </w:r>
      <w:r w:rsidR="008E5EFF">
        <w:t xml:space="preserve"> </w:t>
      </w:r>
      <w:r w:rsidR="00EF4EF5">
        <w:t xml:space="preserve">Um mindestens diesen Betrag </w:t>
      </w:r>
      <w:proofErr w:type="spellStart"/>
      <w:r w:rsidR="00EF4EF5">
        <w:t>muß</w:t>
      </w:r>
      <w:proofErr w:type="spellEnd"/>
      <w:r w:rsidR="00EF4EF5">
        <w:t xml:space="preserve"> </w:t>
      </w:r>
      <w:r w:rsidR="003907AB">
        <w:t xml:space="preserve">hierzu </w:t>
      </w:r>
      <w:r w:rsidR="00EF4EF5">
        <w:t>der Finanzierungsrahmen aufgestockt werden.</w:t>
      </w:r>
      <w:r w:rsidR="00ED384B">
        <w:t xml:space="preserve"> Damit wird allerdings nur ein geringer Schadensumfang abgedeckt; für darüber hinausgehende Schäden </w:t>
      </w:r>
      <w:proofErr w:type="spellStart"/>
      <w:r w:rsidR="00ED384B">
        <w:t>muß</w:t>
      </w:r>
      <w:proofErr w:type="spellEnd"/>
      <w:r w:rsidR="00A452F5">
        <w:t xml:space="preserve"> ein erweiterte</w:t>
      </w:r>
      <w:r w:rsidR="000760EB">
        <w:t>r</w:t>
      </w:r>
      <w:r w:rsidR="00A452F5">
        <w:t xml:space="preserve"> </w:t>
      </w:r>
      <w:r w:rsidR="000760EB">
        <w:t>Risikopuffer</w:t>
      </w:r>
      <w:r w:rsidR="00A452F5">
        <w:t xml:space="preserve"> von der DB AG vorgesehen werden.</w:t>
      </w:r>
    </w:p>
    <w:p w:rsidR="0099322B" w:rsidRDefault="0099322B" w:rsidP="004A290E">
      <w:pPr>
        <w:pStyle w:val="Listenabsatz"/>
        <w:ind w:left="0"/>
        <w:rPr>
          <w:b/>
        </w:rPr>
      </w:pPr>
    </w:p>
    <w:p w:rsidR="00FB6E68" w:rsidRDefault="00643656" w:rsidP="00FB6E68">
      <w:pPr>
        <w:pStyle w:val="Listenabsatz"/>
        <w:numPr>
          <w:ilvl w:val="0"/>
          <w:numId w:val="1"/>
        </w:numPr>
        <w:ind w:left="284" w:hanging="284"/>
        <w:rPr>
          <w:b/>
        </w:rPr>
      </w:pPr>
      <w:r>
        <w:rPr>
          <w:b/>
        </w:rPr>
        <w:t>Verzögerungskosten</w:t>
      </w:r>
      <w:r w:rsidR="007E4C64">
        <w:rPr>
          <w:b/>
        </w:rPr>
        <w:t xml:space="preserve"> wg. </w:t>
      </w:r>
      <w:r>
        <w:rPr>
          <w:b/>
        </w:rPr>
        <w:t>Bauzeit-Verlängerung</w:t>
      </w:r>
    </w:p>
    <w:p w:rsidR="0035153D" w:rsidRDefault="0024064A" w:rsidP="004A290E">
      <w:pPr>
        <w:pStyle w:val="Listenabsatz"/>
        <w:ind w:left="0"/>
      </w:pPr>
      <w:r>
        <w:t>Die P</w:t>
      </w:r>
      <w:r w:rsidRPr="0054450F">
        <w:t>rüfer KPMG + Basler AG</w:t>
      </w:r>
      <w:r>
        <w:t xml:space="preserve"> gehen in ihrem Prüfbericht</w:t>
      </w:r>
      <w:r w:rsidR="00B973FF">
        <w:t xml:space="preserve"> im Abschn. 5.2 „Verzögerungskosten“ von einer m</w:t>
      </w:r>
      <w:r w:rsidR="00A238A0">
        <w:t>öglichen Verzögerung in der Fertigstellung von bis zu 33 Monaten aus</w:t>
      </w:r>
      <w:r w:rsidR="00F16969">
        <w:t>, was die PSU durch Gegen</w:t>
      </w:r>
      <w:r w:rsidR="00FC61B7">
        <w:t>-</w:t>
      </w:r>
      <w:r w:rsidR="00F16969">
        <w:t>steuerungsmaßnahmen</w:t>
      </w:r>
      <w:r w:rsidR="00FC61B7">
        <w:t xml:space="preserve"> v</w:t>
      </w:r>
      <w:r w:rsidR="002A1D48">
        <w:t>erhindern oder zumindest auf 12 Monate begrenzen will</w:t>
      </w:r>
      <w:r w:rsidR="00FC61B7">
        <w:t xml:space="preserve">. </w:t>
      </w:r>
      <w:r w:rsidR="0024496C">
        <w:t xml:space="preserve"> </w:t>
      </w:r>
    </w:p>
    <w:p w:rsidR="00E13954" w:rsidRDefault="00FC61B7" w:rsidP="004A290E">
      <w:pPr>
        <w:pStyle w:val="Listenabsatz"/>
        <w:ind w:left="0"/>
      </w:pPr>
      <w:r>
        <w:lastRenderedPageBreak/>
        <w:t>Als „</w:t>
      </w:r>
      <w:r w:rsidRPr="00F73B46">
        <w:rPr>
          <w:b/>
        </w:rPr>
        <w:t>Verzögerungskosten</w:t>
      </w:r>
      <w:r w:rsidR="0024496C">
        <w:t>“ für einen Verzug von 24 Monaten</w:t>
      </w:r>
      <w:r w:rsidR="0035153D">
        <w:t xml:space="preserve"> sind im T&amp;K-Bericht 290 Mio. € vorgesehen, die die Prüfer</w:t>
      </w:r>
      <w:r w:rsidR="000069CE">
        <w:t xml:space="preserve"> zwar</w:t>
      </w:r>
      <w:r w:rsidR="00E87363">
        <w:t xml:space="preserve"> </w:t>
      </w:r>
      <w:r w:rsidR="000069CE">
        <w:t>der Höhe nach nicht vollständig überprüft</w:t>
      </w:r>
      <w:r w:rsidR="00E87363">
        <w:t xml:space="preserve"> haben, </w:t>
      </w:r>
      <w:r w:rsidR="00A82182">
        <w:t xml:space="preserve">aber </w:t>
      </w:r>
      <w:r w:rsidR="00E87363">
        <w:t>doch</w:t>
      </w:r>
      <w:r w:rsidR="0035153D">
        <w:t xml:space="preserve"> grundsätzlich </w:t>
      </w:r>
      <w:r w:rsidR="00E87363">
        <w:t>als</w:t>
      </w:r>
      <w:r w:rsidR="004F06AC">
        <w:t xml:space="preserve"> nachvollziehbar </w:t>
      </w:r>
      <w:r w:rsidR="00E87363">
        <w:t>ansehen.</w:t>
      </w:r>
      <w:r w:rsidR="00EF7A72">
        <w:t xml:space="preserve"> </w:t>
      </w:r>
      <w:r w:rsidR="002B2C4A" w:rsidRPr="002B2C4A">
        <w:t>[S.</w:t>
      </w:r>
      <w:r w:rsidR="00C96C16">
        <w:t xml:space="preserve"> </w:t>
      </w:r>
      <w:r w:rsidR="002B2C4A" w:rsidRPr="002B2C4A">
        <w:t>5</w:t>
      </w:r>
      <w:r w:rsidR="00C96C16">
        <w:t>8</w:t>
      </w:r>
      <w:r w:rsidR="002B2C4A" w:rsidRPr="002B2C4A">
        <w:t>]</w:t>
      </w:r>
    </w:p>
    <w:p w:rsidR="005361AE" w:rsidRDefault="005361AE" w:rsidP="004A290E">
      <w:pPr>
        <w:pStyle w:val="Listenabsatz"/>
        <w:ind w:left="0"/>
      </w:pPr>
      <w:r>
        <w:t xml:space="preserve">Für die </w:t>
      </w:r>
      <w:r w:rsidRPr="009473DD">
        <w:rPr>
          <w:b/>
        </w:rPr>
        <w:t>weitere</w:t>
      </w:r>
      <w:r>
        <w:t xml:space="preserve"> von den Prüfern </w:t>
      </w:r>
      <w:r w:rsidRPr="009473DD">
        <w:rPr>
          <w:b/>
        </w:rPr>
        <w:t xml:space="preserve">als wahrscheinlich </w:t>
      </w:r>
      <w:r>
        <w:t>angesehene</w:t>
      </w:r>
      <w:r w:rsidR="00055BE7">
        <w:t xml:space="preserve">  </w:t>
      </w:r>
      <w:r w:rsidR="00055BE7" w:rsidRPr="009473DD">
        <w:rPr>
          <w:b/>
        </w:rPr>
        <w:t xml:space="preserve">Verzögerung um 9 Monate </w:t>
      </w:r>
      <w:r w:rsidR="00055BE7">
        <w:t xml:space="preserve">sind im Prüfbericht jedoch </w:t>
      </w:r>
      <w:r w:rsidR="00055BE7" w:rsidRPr="003E4585">
        <w:rPr>
          <w:b/>
        </w:rPr>
        <w:t xml:space="preserve">keine </w:t>
      </w:r>
      <w:r w:rsidR="00861259" w:rsidRPr="003E4585">
        <w:rPr>
          <w:b/>
        </w:rPr>
        <w:t xml:space="preserve">zusätzlichen </w:t>
      </w:r>
      <w:r w:rsidR="00055BE7" w:rsidRPr="003E4585">
        <w:rPr>
          <w:b/>
        </w:rPr>
        <w:t>Verzögerungskosten</w:t>
      </w:r>
      <w:r w:rsidR="003E4585">
        <w:t xml:space="preserve"> benannt und auch </w:t>
      </w:r>
      <w:r w:rsidR="003E4585" w:rsidRPr="003E4585">
        <w:rPr>
          <w:b/>
        </w:rPr>
        <w:t>nicht in d</w:t>
      </w:r>
      <w:r w:rsidR="00861259" w:rsidRPr="003E4585">
        <w:rPr>
          <w:b/>
        </w:rPr>
        <w:t>e</w:t>
      </w:r>
      <w:r w:rsidR="003E4585" w:rsidRPr="003E4585">
        <w:rPr>
          <w:b/>
        </w:rPr>
        <w:t>r</w:t>
      </w:r>
      <w:r w:rsidR="00861259" w:rsidRPr="003E4585">
        <w:rPr>
          <w:b/>
        </w:rPr>
        <w:t xml:space="preserve"> </w:t>
      </w:r>
      <w:proofErr w:type="spellStart"/>
      <w:r w:rsidR="00861259" w:rsidRPr="003E4585">
        <w:rPr>
          <w:b/>
        </w:rPr>
        <w:t>Gesam</w:t>
      </w:r>
      <w:r w:rsidR="003E4585" w:rsidRPr="003E4585">
        <w:rPr>
          <w:b/>
        </w:rPr>
        <w:t>kosten</w:t>
      </w:r>
      <w:proofErr w:type="spellEnd"/>
      <w:r w:rsidR="003E4585" w:rsidRPr="003E4585">
        <w:rPr>
          <w:b/>
        </w:rPr>
        <w:t>-Bewertung berücksichtigt</w:t>
      </w:r>
      <w:r w:rsidR="003E4585">
        <w:t>.</w:t>
      </w:r>
    </w:p>
    <w:p w:rsidR="00181FE2" w:rsidRDefault="00EF7A72" w:rsidP="00181FE2">
      <w:pPr>
        <w:pStyle w:val="Listenabsatz"/>
        <w:ind w:left="0"/>
      </w:pPr>
      <w:r>
        <w:t>Ohne hier in die Einzelheiten der unterschied</w:t>
      </w:r>
      <w:r w:rsidR="00A82182">
        <w:t>lich</w:t>
      </w:r>
      <w:r>
        <w:t xml:space="preserve">en </w:t>
      </w:r>
      <w:proofErr w:type="spellStart"/>
      <w:r w:rsidR="003A71DD">
        <w:t>Einflußgrößen</w:t>
      </w:r>
      <w:proofErr w:type="spellEnd"/>
      <w:r w:rsidR="003A71DD">
        <w:t xml:space="preserve"> einzugehen</w:t>
      </w:r>
      <w:r w:rsidR="00C7782A">
        <w:t>, w</w:t>
      </w:r>
      <w:r w:rsidR="000C7DBE">
        <w:t>e</w:t>
      </w:r>
      <w:r w:rsidR="00C7782A">
        <w:t>rd</w:t>
      </w:r>
      <w:r w:rsidR="000C7DBE">
        <w:t xml:space="preserve">en die zusätzlichen Verzögerungskosten </w:t>
      </w:r>
      <w:r w:rsidR="00EE0F91">
        <w:t>de</w:t>
      </w:r>
      <w:r w:rsidR="00C7782A">
        <w:t xml:space="preserve">r </w:t>
      </w:r>
      <w:r w:rsidR="00C7782A" w:rsidRPr="00F10812">
        <w:rPr>
          <w:b/>
        </w:rPr>
        <w:t>weitere</w:t>
      </w:r>
      <w:r w:rsidR="00EE0F91" w:rsidRPr="00F10812">
        <w:rPr>
          <w:b/>
        </w:rPr>
        <w:t>n</w:t>
      </w:r>
      <w:r w:rsidR="00F10812">
        <w:rPr>
          <w:b/>
        </w:rPr>
        <w:t xml:space="preserve"> offensichtlichen</w:t>
      </w:r>
      <w:r w:rsidR="00EE0F91" w:rsidRPr="00F10812">
        <w:rPr>
          <w:b/>
        </w:rPr>
        <w:t xml:space="preserve"> </w:t>
      </w:r>
      <w:r w:rsidR="00C7782A" w:rsidRPr="00F10812">
        <w:rPr>
          <w:b/>
        </w:rPr>
        <w:t xml:space="preserve"> Bauzeit-Verzögerung um 9 Monate</w:t>
      </w:r>
      <w:r w:rsidR="00C7782A">
        <w:t xml:space="preserve"> vereinfachend</w:t>
      </w:r>
      <w:r w:rsidR="00EE0F91">
        <w:t xml:space="preserve"> im Verhältnis der Verzögerungsmonate umgerechnet:</w:t>
      </w:r>
      <w:r w:rsidR="004011D1">
        <w:t xml:space="preserve"> </w:t>
      </w:r>
    </w:p>
    <w:p w:rsidR="004A290E" w:rsidRPr="007E4C64" w:rsidRDefault="00A41127" w:rsidP="00255378">
      <w:pPr>
        <w:pStyle w:val="Listenabsatz"/>
        <w:ind w:left="0" w:firstLine="708"/>
      </w:pPr>
      <w:r>
        <w:t xml:space="preserve">• </w:t>
      </w:r>
      <w:r w:rsidR="004011D1" w:rsidRPr="00181FE2">
        <w:rPr>
          <w:b/>
        </w:rPr>
        <w:t>zusätzliche Verzögerungskosten</w:t>
      </w:r>
      <w:r w:rsidRPr="003F438C">
        <w:t xml:space="preserve">:   290 Mio. € </w:t>
      </w:r>
      <w:r w:rsidR="003F438C" w:rsidRPr="003F438C">
        <w:t xml:space="preserve">x 9 Monate:24 Monate = </w:t>
      </w:r>
      <w:r w:rsidR="00825A00" w:rsidRPr="00181FE2">
        <w:rPr>
          <w:b/>
          <w:u w:val="single"/>
        </w:rPr>
        <w:t>109 Mio. €</w:t>
      </w:r>
    </w:p>
    <w:p w:rsidR="004A290E" w:rsidRDefault="004A290E" w:rsidP="004A290E">
      <w:pPr>
        <w:pStyle w:val="Listenabsatz"/>
        <w:ind w:left="0"/>
        <w:rPr>
          <w:b/>
        </w:rPr>
      </w:pPr>
    </w:p>
    <w:p w:rsidR="00C3225D" w:rsidRDefault="00943D93" w:rsidP="00FB6E68">
      <w:pPr>
        <w:pStyle w:val="Listenabsatz"/>
        <w:numPr>
          <w:ilvl w:val="0"/>
          <w:numId w:val="1"/>
        </w:numPr>
        <w:ind w:left="284" w:hanging="284"/>
        <w:rPr>
          <w:b/>
        </w:rPr>
      </w:pPr>
      <w:r>
        <w:rPr>
          <w:b/>
        </w:rPr>
        <w:t xml:space="preserve">Mehrkosten </w:t>
      </w:r>
      <w:r w:rsidR="00643656" w:rsidRPr="00643656">
        <w:rPr>
          <w:b/>
        </w:rPr>
        <w:t>Nominalisierung</w:t>
      </w:r>
    </w:p>
    <w:p w:rsidR="00B35794" w:rsidRDefault="003008C8" w:rsidP="004A290E">
      <w:pPr>
        <w:pStyle w:val="Listenabsatz"/>
        <w:ind w:left="0"/>
      </w:pPr>
      <w:r>
        <w:t>De</w:t>
      </w:r>
      <w:r w:rsidR="00B63F19">
        <w:t>r Finanzierungsrahmen</w:t>
      </w:r>
      <w:r>
        <w:t xml:space="preserve"> der PSU </w:t>
      </w:r>
      <w:r w:rsidR="00B63F19">
        <w:t xml:space="preserve">berücksichtigt </w:t>
      </w:r>
      <w:r w:rsidR="00720F26">
        <w:t>lediglich einen</w:t>
      </w:r>
      <w:r w:rsidR="004E3D81">
        <w:t xml:space="preserve"> </w:t>
      </w:r>
      <w:proofErr w:type="spellStart"/>
      <w:r w:rsidR="004E3D81">
        <w:t>Nomalisierungszinssatz</w:t>
      </w:r>
      <w:proofErr w:type="spellEnd"/>
      <w:r w:rsidR="004E3D81">
        <w:t xml:space="preserve"> von 1,5 %</w:t>
      </w:r>
      <w:r w:rsidR="00D62F65">
        <w:t xml:space="preserve">. </w:t>
      </w:r>
    </w:p>
    <w:p w:rsidR="003F53B8" w:rsidRDefault="006834FB" w:rsidP="004A290E">
      <w:pPr>
        <w:pStyle w:val="Listenabsatz"/>
        <w:ind w:left="0"/>
      </w:pPr>
      <w:r w:rsidRPr="006834FB">
        <w:t xml:space="preserve">Die Prüfer KPMG + Basler AG </w:t>
      </w:r>
      <w:r w:rsidR="00245ED7">
        <w:t xml:space="preserve">beanstanden dies </w:t>
      </w:r>
      <w:r w:rsidR="00B35794" w:rsidRPr="00B35794">
        <w:t>in ihrem Prüfbericht im Abschn. 5.</w:t>
      </w:r>
      <w:r w:rsidR="00684333">
        <w:t>5.</w:t>
      </w:r>
      <w:r w:rsidR="00B35794" w:rsidRPr="00B35794">
        <w:t>2 „</w:t>
      </w:r>
      <w:proofErr w:type="spellStart"/>
      <w:r w:rsidR="00684333">
        <w:t>Nomalisierungs</w:t>
      </w:r>
      <w:proofErr w:type="spellEnd"/>
      <w:r w:rsidR="00684333">
        <w:t>-</w:t>
      </w:r>
      <w:r w:rsidR="00AD1978">
        <w:t>Prognose</w:t>
      </w:r>
      <w:r w:rsidR="00B35794" w:rsidRPr="00B35794">
        <w:t xml:space="preserve">“ </w:t>
      </w:r>
      <w:r w:rsidR="00245ED7">
        <w:t xml:space="preserve">als unzureichend und </w:t>
      </w:r>
      <w:proofErr w:type="gramStart"/>
      <w:r w:rsidR="00245ED7">
        <w:t>empfehlen</w:t>
      </w:r>
      <w:r w:rsidR="0027568D">
        <w:t xml:space="preserve"> </w:t>
      </w:r>
      <w:r w:rsidR="00AD1978">
        <w:t>,</w:t>
      </w:r>
      <w:proofErr w:type="gramEnd"/>
      <w:r w:rsidR="00245ED7">
        <w:t xml:space="preserve"> entsprechend </w:t>
      </w:r>
      <w:r w:rsidR="00120BF2">
        <w:t>der Entwic</w:t>
      </w:r>
      <w:r w:rsidR="00AD1978">
        <w:t>klung des Baupreis-Indexes des S</w:t>
      </w:r>
      <w:r w:rsidR="00120BF2">
        <w:t xml:space="preserve">tatischen Bundesamtes für Ingenieurbau </w:t>
      </w:r>
      <w:r w:rsidR="002B35B7">
        <w:t xml:space="preserve">stattdessen </w:t>
      </w:r>
      <w:r w:rsidR="00726ECD">
        <w:t xml:space="preserve">einen </w:t>
      </w:r>
      <w:proofErr w:type="spellStart"/>
      <w:r w:rsidR="00726ECD" w:rsidRPr="00726ECD">
        <w:t>Nomalisierungszinssatz</w:t>
      </w:r>
      <w:proofErr w:type="spellEnd"/>
      <w:r w:rsidR="00726ECD" w:rsidRPr="00726ECD">
        <w:t xml:space="preserve"> von </w:t>
      </w:r>
      <w:r w:rsidR="00B35794">
        <w:t>2</w:t>
      </w:r>
      <w:r w:rsidR="00726ECD" w:rsidRPr="00726ECD">
        <w:t xml:space="preserve"> %</w:t>
      </w:r>
      <w:r w:rsidR="00726ECD">
        <w:t xml:space="preserve"> </w:t>
      </w:r>
      <w:r w:rsidR="00AD1978">
        <w:t>anzuwend</w:t>
      </w:r>
      <w:r w:rsidR="0027568D">
        <w:t xml:space="preserve">en. </w:t>
      </w:r>
      <w:r w:rsidR="002B35B7">
        <w:t xml:space="preserve">Damit ermitteln die Prüfer </w:t>
      </w:r>
      <w:r w:rsidR="004D5E5D">
        <w:t xml:space="preserve">für die noch zu vergebenden Leistungen </w:t>
      </w:r>
    </w:p>
    <w:p w:rsidR="003F53B8" w:rsidRDefault="004D5E5D" w:rsidP="004A290E">
      <w:pPr>
        <w:pStyle w:val="Listenabsatz"/>
        <w:ind w:left="0"/>
      </w:pPr>
      <w:r>
        <w:t xml:space="preserve"> </w:t>
      </w:r>
      <w:r w:rsidR="003F53B8">
        <w:tab/>
        <w:t xml:space="preserve">• </w:t>
      </w:r>
      <w:r w:rsidR="00F426AE" w:rsidRPr="00F426AE">
        <w:rPr>
          <w:b/>
        </w:rPr>
        <w:t xml:space="preserve">Mehrkosten </w:t>
      </w:r>
      <w:r w:rsidR="00181FE2">
        <w:rPr>
          <w:b/>
        </w:rPr>
        <w:t xml:space="preserve">der </w:t>
      </w:r>
      <w:r w:rsidR="00F426AE" w:rsidRPr="00F426AE">
        <w:rPr>
          <w:b/>
        </w:rPr>
        <w:t>Nominalisierung</w:t>
      </w:r>
      <w:r w:rsidR="00F426AE">
        <w:rPr>
          <w:b/>
        </w:rPr>
        <w:t xml:space="preserve">:    </w:t>
      </w:r>
      <w:r w:rsidRPr="001B1E99">
        <w:rPr>
          <w:b/>
        </w:rPr>
        <w:t xml:space="preserve"> </w:t>
      </w:r>
      <w:r w:rsidRPr="001B1E99">
        <w:rPr>
          <w:b/>
          <w:u w:val="single"/>
        </w:rPr>
        <w:t>60 Mio. €</w:t>
      </w:r>
      <w:r w:rsidR="001B1E99">
        <w:t xml:space="preserve">, </w:t>
      </w:r>
    </w:p>
    <w:p w:rsidR="004A290E" w:rsidRPr="001B1E99" w:rsidRDefault="001B1E99" w:rsidP="004A290E">
      <w:pPr>
        <w:pStyle w:val="Listenabsatz"/>
        <w:ind w:left="0"/>
      </w:pPr>
      <w:r>
        <w:t>welch</w:t>
      </w:r>
      <w:r w:rsidR="00BE4C71">
        <w:t xml:space="preserve">e jedoch ebenfalls </w:t>
      </w:r>
      <w:r w:rsidR="00BE4C71" w:rsidRPr="00BE4C71">
        <w:rPr>
          <w:b/>
        </w:rPr>
        <w:t>nicht in der Gesamtkostenprognose enthalten</w:t>
      </w:r>
      <w:r w:rsidR="00BE4C71">
        <w:t xml:space="preserve"> </w:t>
      </w:r>
      <w:r w:rsidR="00181FE2">
        <w:t>sind</w:t>
      </w:r>
      <w:r w:rsidR="00BE4C71">
        <w:t>.</w:t>
      </w:r>
      <w:r w:rsidR="002B2C4A">
        <w:t xml:space="preserve"> </w:t>
      </w:r>
      <w:r w:rsidR="002B2C4A" w:rsidRPr="002B2C4A">
        <w:t>[S.</w:t>
      </w:r>
      <w:r w:rsidR="002B2C4A">
        <w:t>8</w:t>
      </w:r>
      <w:r w:rsidR="00C96C16">
        <w:t>8</w:t>
      </w:r>
      <w:r w:rsidR="002B2C4A" w:rsidRPr="002B2C4A">
        <w:t>]</w:t>
      </w:r>
    </w:p>
    <w:p w:rsidR="004A290E" w:rsidRDefault="004A290E" w:rsidP="004A290E">
      <w:pPr>
        <w:pStyle w:val="Listenabsatz"/>
        <w:ind w:left="0"/>
        <w:rPr>
          <w:b/>
        </w:rPr>
      </w:pPr>
    </w:p>
    <w:p w:rsidR="00C3225D" w:rsidRDefault="00340576" w:rsidP="00FB6E68">
      <w:pPr>
        <w:pStyle w:val="Listenabsatz"/>
        <w:numPr>
          <w:ilvl w:val="0"/>
          <w:numId w:val="1"/>
        </w:numPr>
        <w:ind w:left="284" w:hanging="284"/>
        <w:rPr>
          <w:b/>
        </w:rPr>
      </w:pPr>
      <w:r>
        <w:rPr>
          <w:b/>
        </w:rPr>
        <w:t>Pachtzahlung wegen verspäteter Übergabe der Gleisgelände</w:t>
      </w:r>
    </w:p>
    <w:p w:rsidR="00EB17F5" w:rsidRDefault="003F0E6E" w:rsidP="00390E39">
      <w:pPr>
        <w:pStyle w:val="Listenabsatz"/>
        <w:ind w:left="0"/>
      </w:pPr>
      <w:r>
        <w:t>Die verspätete Fertigstellung des Vorhabens Stuttgart21</w:t>
      </w:r>
      <w:r w:rsidR="00093D71">
        <w:t xml:space="preserve"> und </w:t>
      </w:r>
      <w:r w:rsidR="00093D71" w:rsidRPr="007F1163">
        <w:rPr>
          <w:b/>
        </w:rPr>
        <w:t>Übergabe der freigeräumten Gleisflächen</w:t>
      </w:r>
      <w:r>
        <w:t xml:space="preserve"> </w:t>
      </w:r>
      <w:r w:rsidR="00093D71">
        <w:t xml:space="preserve">an die Stadt Stuttgart </w:t>
      </w:r>
      <w:r w:rsidR="00C133F1">
        <w:t xml:space="preserve">erst </w:t>
      </w:r>
      <w:r>
        <w:t xml:space="preserve">nach 2020 </w:t>
      </w:r>
      <w:r w:rsidR="007F0C62">
        <w:t xml:space="preserve">zieht </w:t>
      </w:r>
      <w:r w:rsidR="007F0C62" w:rsidRPr="00CA4858">
        <w:rPr>
          <w:b/>
        </w:rPr>
        <w:t>jährliche Pachtzahlungen</w:t>
      </w:r>
      <w:r w:rsidR="00DA4DD9">
        <w:t xml:space="preserve"> der DB an die LHS</w:t>
      </w:r>
      <w:r w:rsidR="0075303E" w:rsidRPr="0075303E">
        <w:t xml:space="preserve"> </w:t>
      </w:r>
      <w:r w:rsidR="0075303E">
        <w:t>nach sich.</w:t>
      </w:r>
      <w:r w:rsidR="002C55F1">
        <w:t xml:space="preserve"> </w:t>
      </w:r>
      <w:r w:rsidR="00541E70">
        <w:t xml:space="preserve">Dies ist im vorliegenden Prüfbericht </w:t>
      </w:r>
      <w:r w:rsidR="00A21B35">
        <w:t xml:space="preserve">von </w:t>
      </w:r>
      <w:r w:rsidR="00A21B35" w:rsidRPr="006834FB">
        <w:t>KPMG + Basler AG</w:t>
      </w:r>
      <w:r w:rsidR="00A21B35">
        <w:t xml:space="preserve"> </w:t>
      </w:r>
      <w:r w:rsidR="00A21B35" w:rsidRPr="00CA4858">
        <w:rPr>
          <w:b/>
        </w:rPr>
        <w:t>nicht mitberücksichtigt</w:t>
      </w:r>
      <w:r w:rsidR="00A21B35">
        <w:t xml:space="preserve"> worden; vermutlich deshalb, weil die DB PSU die entsprechenden Vertragsunterlagen</w:t>
      </w:r>
      <w:r w:rsidR="00C133F1">
        <w:t xml:space="preserve"> nicht beigestellt hatte.</w:t>
      </w:r>
      <w:r w:rsidR="00A21B35">
        <w:t xml:space="preserve"> </w:t>
      </w:r>
    </w:p>
    <w:p w:rsidR="00E37142" w:rsidRDefault="002C55F1" w:rsidP="00390E39">
      <w:pPr>
        <w:pStyle w:val="Listenabsatz"/>
        <w:ind w:left="0"/>
      </w:pPr>
      <w:r>
        <w:t>Gemäß Nachtragsvereinbarung</w:t>
      </w:r>
      <w:r w:rsidR="007F0C62">
        <w:t xml:space="preserve"> </w:t>
      </w:r>
      <w:r w:rsidR="00EB17F5">
        <w:t xml:space="preserve">zum Kaufvertrag </w:t>
      </w:r>
      <w:r>
        <w:t>zwischen der LHS und der DB AG</w:t>
      </w:r>
      <w:r w:rsidR="00EB17F5">
        <w:t xml:space="preserve"> sind Pachtzinsen</w:t>
      </w:r>
      <w:r w:rsidR="008817AC">
        <w:t xml:space="preserve">  </w:t>
      </w:r>
      <w:r w:rsidR="00E462A9">
        <w:t>in Höhe von 5,5 % p.a. bezogen auf den damaligen Kaufpreis von</w:t>
      </w:r>
      <w:r w:rsidR="00DA4DD9">
        <w:t xml:space="preserve"> 459 Mio. €</w:t>
      </w:r>
      <w:r w:rsidR="009727DB">
        <w:t xml:space="preserve">, jährlich also 25,2 Mio. €/a </w:t>
      </w:r>
      <w:r w:rsidR="00DA4DD9">
        <w:t xml:space="preserve"> </w:t>
      </w:r>
      <w:r w:rsidR="008817AC">
        <w:t>für die Zeit ab 202</w:t>
      </w:r>
      <w:r w:rsidR="00C92034">
        <w:t>0</w:t>
      </w:r>
      <w:r w:rsidR="008817AC">
        <w:t xml:space="preserve"> bis zur Übergabe fällig.</w:t>
      </w:r>
      <w:r w:rsidR="00014DFF">
        <w:t xml:space="preserve"> </w:t>
      </w:r>
    </w:p>
    <w:p w:rsidR="002A6658" w:rsidRDefault="00014DFF" w:rsidP="00390E39">
      <w:pPr>
        <w:pStyle w:val="Listenabsatz"/>
        <w:ind w:left="0"/>
      </w:pPr>
      <w:r>
        <w:t>Ausgehend von einer  Betriebsaufnahme von Stuttgart21</w:t>
      </w:r>
      <w:r w:rsidR="009C5468">
        <w:t xml:space="preserve"> Ende 2024</w:t>
      </w:r>
      <w:r w:rsidR="00E37142">
        <w:t xml:space="preserve"> gem. Einschätzung von KPMG  </w:t>
      </w:r>
      <w:r w:rsidR="00C86729">
        <w:t>ist</w:t>
      </w:r>
      <w:r w:rsidR="00E37142">
        <w:t xml:space="preserve"> die Übergabe der freigeräumten  Gleisflächen</w:t>
      </w:r>
      <w:r w:rsidR="00C86729">
        <w:t xml:space="preserve"> erst 2026</w:t>
      </w:r>
      <w:r w:rsidR="00CA4858">
        <w:t xml:space="preserve"> möglich. Damit entstehen</w:t>
      </w:r>
      <w:r w:rsidR="00C86729">
        <w:t xml:space="preserve"> </w:t>
      </w:r>
      <w:r w:rsidR="008932FB">
        <w:t xml:space="preserve">folgende </w:t>
      </w:r>
      <w:r w:rsidR="00AA486E" w:rsidRPr="008932FB">
        <w:rPr>
          <w:b/>
        </w:rPr>
        <w:t>M</w:t>
      </w:r>
      <w:r w:rsidR="00C86729" w:rsidRPr="008932FB">
        <w:rPr>
          <w:b/>
        </w:rPr>
        <w:t>e</w:t>
      </w:r>
      <w:r w:rsidR="00AA486E" w:rsidRPr="008932FB">
        <w:rPr>
          <w:b/>
        </w:rPr>
        <w:t>hrkosten</w:t>
      </w:r>
      <w:r w:rsidR="00AA486E">
        <w:t xml:space="preserve">, die </w:t>
      </w:r>
      <w:r w:rsidR="00AA486E" w:rsidRPr="008932FB">
        <w:rPr>
          <w:b/>
        </w:rPr>
        <w:t>im Fina</w:t>
      </w:r>
      <w:r w:rsidR="008932FB" w:rsidRPr="008932FB">
        <w:rPr>
          <w:b/>
        </w:rPr>
        <w:t>n</w:t>
      </w:r>
      <w:r w:rsidR="00AA486E" w:rsidRPr="008932FB">
        <w:rPr>
          <w:b/>
        </w:rPr>
        <w:t>zierungsrahmen</w:t>
      </w:r>
      <w:r w:rsidR="008932FB" w:rsidRPr="008932FB">
        <w:rPr>
          <w:b/>
        </w:rPr>
        <w:t xml:space="preserve"> gar nicht enthalten</w:t>
      </w:r>
      <w:r w:rsidR="008932FB">
        <w:t xml:space="preserve"> sind</w:t>
      </w:r>
      <w:r w:rsidR="008637B3">
        <w:t>:</w:t>
      </w:r>
      <w:r w:rsidR="00C86729">
        <w:t xml:space="preserve"> </w:t>
      </w:r>
    </w:p>
    <w:p w:rsidR="00390E39" w:rsidRPr="003F0E6E" w:rsidRDefault="002A6658" w:rsidP="00390E39">
      <w:pPr>
        <w:pStyle w:val="Listenabsatz"/>
        <w:ind w:left="0"/>
      </w:pPr>
      <w:r>
        <w:tab/>
        <w:t xml:space="preserve">• </w:t>
      </w:r>
      <w:r w:rsidR="00C86729" w:rsidRPr="002A6658">
        <w:rPr>
          <w:b/>
        </w:rPr>
        <w:t>Pachtzahlungen</w:t>
      </w:r>
      <w:r>
        <w:rPr>
          <w:b/>
        </w:rPr>
        <w:t xml:space="preserve">  </w:t>
      </w:r>
      <w:r w:rsidRPr="008637B3">
        <w:t>für 6 Jahre x 25,2</w:t>
      </w:r>
      <w:r w:rsidR="00180802" w:rsidRPr="008637B3">
        <w:t xml:space="preserve"> Mio. €</w:t>
      </w:r>
      <w:r w:rsidR="00180802">
        <w:rPr>
          <w:b/>
        </w:rPr>
        <w:t xml:space="preserve">  = </w:t>
      </w:r>
      <w:r w:rsidR="00180802" w:rsidRPr="008637B3">
        <w:rPr>
          <w:b/>
          <w:u w:val="single"/>
        </w:rPr>
        <w:t>161 Mio. €</w:t>
      </w:r>
      <w:r w:rsidR="00180802">
        <w:rPr>
          <w:b/>
        </w:rPr>
        <w:t xml:space="preserve"> </w:t>
      </w:r>
    </w:p>
    <w:p w:rsidR="00390E39" w:rsidRPr="003831B2" w:rsidRDefault="00390E39" w:rsidP="00390E39">
      <w:pPr>
        <w:pStyle w:val="Listenabsatz"/>
        <w:ind w:left="0"/>
        <w:rPr>
          <w:b/>
          <w:sz w:val="32"/>
          <w:szCs w:val="32"/>
        </w:rPr>
      </w:pPr>
    </w:p>
    <w:p w:rsidR="00390E39" w:rsidRDefault="003831B2" w:rsidP="00390E39">
      <w:pPr>
        <w:pStyle w:val="Listenabsatz"/>
        <w:ind w:left="0"/>
        <w:rPr>
          <w:b/>
        </w:rPr>
      </w:pPr>
      <w:r>
        <w:rPr>
          <w:b/>
        </w:rPr>
        <w:t>ZUSAMMENFASSUNG:</w:t>
      </w:r>
    </w:p>
    <w:p w:rsidR="003B3157" w:rsidRDefault="00DF23F5" w:rsidP="00390E39">
      <w:pPr>
        <w:pStyle w:val="Listenabsatz"/>
        <w:ind w:left="0"/>
      </w:pPr>
      <w:r>
        <w:t xml:space="preserve">Die vorstehend ermittelten </w:t>
      </w:r>
      <w:r w:rsidRPr="00A50038">
        <w:rPr>
          <w:b/>
        </w:rPr>
        <w:t>Mehrkosten</w:t>
      </w:r>
      <w:r>
        <w:t xml:space="preserve"> </w:t>
      </w:r>
      <w:r w:rsidR="00C44260">
        <w:t xml:space="preserve">gegenüber den von </w:t>
      </w:r>
      <w:r w:rsidR="00C44260" w:rsidRPr="006834FB">
        <w:t>KPMG + Basler AG</w:t>
      </w:r>
      <w:r w:rsidR="00C44260">
        <w:t xml:space="preserve"> überprüften und bescheinigten </w:t>
      </w:r>
      <w:r w:rsidR="003B3157">
        <w:t>Gesamtkosten für das Vorhaben Stuttgart21 betragen insgesamt:</w:t>
      </w:r>
    </w:p>
    <w:p w:rsidR="00656D42" w:rsidRDefault="00656D42" w:rsidP="0080493E">
      <w:pPr>
        <w:pStyle w:val="Listenabsatz"/>
        <w:ind w:left="0" w:firstLine="284"/>
      </w:pPr>
      <w:r>
        <w:t xml:space="preserve">• </w:t>
      </w:r>
      <w:r w:rsidR="007735D4">
        <w:t>1.)</w:t>
      </w:r>
      <w:r w:rsidR="007735D4" w:rsidRPr="00FB78BB">
        <w:rPr>
          <w:b/>
        </w:rPr>
        <w:t>Tunnelbauschäden durch aufquellenden Anhydrit</w:t>
      </w:r>
      <w:r w:rsidR="007735D4">
        <w:rPr>
          <w:b/>
        </w:rPr>
        <w:t xml:space="preserve">: </w:t>
      </w:r>
      <w:r w:rsidR="00A42A59">
        <w:rPr>
          <w:b/>
        </w:rPr>
        <w:tab/>
      </w:r>
      <w:r w:rsidR="00A42A59">
        <w:rPr>
          <w:b/>
        </w:rPr>
        <w:tab/>
      </w:r>
      <w:r w:rsidR="00EC2265" w:rsidRPr="0083168C">
        <w:rPr>
          <w:b/>
        </w:rPr>
        <w:t xml:space="preserve"> </w:t>
      </w:r>
      <w:r w:rsidR="007735D4" w:rsidRPr="0083168C">
        <w:rPr>
          <w:b/>
        </w:rPr>
        <w:t>215 Mio.</w:t>
      </w:r>
      <w:r w:rsidR="007735D4" w:rsidRPr="007735D4">
        <w:rPr>
          <w:b/>
          <w:u w:val="single"/>
        </w:rPr>
        <w:t xml:space="preserve"> €</w:t>
      </w:r>
    </w:p>
    <w:p w:rsidR="003B3157" w:rsidRDefault="00C668B2" w:rsidP="0080493E">
      <w:pPr>
        <w:pStyle w:val="Listenabsatz"/>
        <w:ind w:left="0" w:firstLine="284"/>
        <w:rPr>
          <w:b/>
          <w:u w:val="single"/>
        </w:rPr>
      </w:pPr>
      <w:r>
        <w:t>•</w:t>
      </w:r>
      <w:r w:rsidR="00A42A59">
        <w:t xml:space="preserve"> </w:t>
      </w:r>
      <w:r w:rsidR="00DA3557">
        <w:t>2.)</w:t>
      </w:r>
      <w:r>
        <w:t xml:space="preserve"> </w:t>
      </w:r>
      <w:r w:rsidRPr="00181FE2">
        <w:rPr>
          <w:b/>
        </w:rPr>
        <w:t>zusätzliche Verzögerungskosten</w:t>
      </w:r>
      <w:r w:rsidRPr="003F438C">
        <w:t>:</w:t>
      </w:r>
      <w:r w:rsidR="00EC2265">
        <w:tab/>
      </w:r>
      <w:r w:rsidR="00EC2265">
        <w:tab/>
      </w:r>
      <w:r w:rsidR="00EC2265">
        <w:tab/>
      </w:r>
      <w:r w:rsidR="00A42A59">
        <w:tab/>
      </w:r>
      <w:r w:rsidRPr="0083168C">
        <w:t xml:space="preserve"> </w:t>
      </w:r>
      <w:r w:rsidRPr="0083168C">
        <w:rPr>
          <w:b/>
        </w:rPr>
        <w:t>109 Mio. €</w:t>
      </w:r>
    </w:p>
    <w:p w:rsidR="00C668B2" w:rsidRDefault="00C668B2" w:rsidP="0080493E">
      <w:pPr>
        <w:pStyle w:val="Listenabsatz"/>
        <w:ind w:left="0" w:firstLine="284"/>
      </w:pPr>
      <w:r>
        <w:t xml:space="preserve">• </w:t>
      </w:r>
      <w:r w:rsidR="00DA3557">
        <w:t>3.)</w:t>
      </w:r>
      <w:r w:rsidRPr="00F426AE">
        <w:rPr>
          <w:b/>
        </w:rPr>
        <w:t xml:space="preserve">Mehrkosten </w:t>
      </w:r>
      <w:r>
        <w:rPr>
          <w:b/>
        </w:rPr>
        <w:t xml:space="preserve">der </w:t>
      </w:r>
      <w:r w:rsidRPr="00F426AE">
        <w:rPr>
          <w:b/>
        </w:rPr>
        <w:t>Nominalisierung</w:t>
      </w:r>
      <w:r>
        <w:rPr>
          <w:b/>
        </w:rPr>
        <w:t xml:space="preserve">: </w:t>
      </w:r>
      <w:r w:rsidR="00A42A59">
        <w:rPr>
          <w:b/>
        </w:rPr>
        <w:tab/>
      </w:r>
      <w:r w:rsidR="00A42A59">
        <w:rPr>
          <w:b/>
        </w:rPr>
        <w:tab/>
      </w:r>
      <w:r w:rsidR="00A42A59">
        <w:rPr>
          <w:b/>
        </w:rPr>
        <w:tab/>
      </w:r>
      <w:r w:rsidR="00A42A59">
        <w:rPr>
          <w:b/>
        </w:rPr>
        <w:tab/>
      </w:r>
      <w:r w:rsidRPr="0083168C">
        <w:rPr>
          <w:b/>
        </w:rPr>
        <w:t xml:space="preserve"> </w:t>
      </w:r>
      <w:r w:rsidR="00EC2265" w:rsidRPr="0083168C">
        <w:rPr>
          <w:b/>
        </w:rPr>
        <w:t xml:space="preserve">  </w:t>
      </w:r>
      <w:r w:rsidRPr="0083168C">
        <w:rPr>
          <w:b/>
        </w:rPr>
        <w:t>60 Mio. €</w:t>
      </w:r>
    </w:p>
    <w:p w:rsidR="00C668B2" w:rsidRDefault="00C668B2" w:rsidP="00A50038">
      <w:pPr>
        <w:pStyle w:val="Listenabsatz"/>
        <w:ind w:left="0" w:firstLine="284"/>
      </w:pPr>
      <w:r>
        <w:t xml:space="preserve">• </w:t>
      </w:r>
      <w:r w:rsidR="00DA3557">
        <w:t>4.)</w:t>
      </w:r>
      <w:r w:rsidRPr="002A6658">
        <w:rPr>
          <w:b/>
        </w:rPr>
        <w:t>Pachtzahlungen</w:t>
      </w:r>
      <w:r w:rsidR="00EC2265">
        <w:rPr>
          <w:b/>
        </w:rPr>
        <w:t>:</w:t>
      </w:r>
      <w:r>
        <w:rPr>
          <w:b/>
        </w:rPr>
        <w:t xml:space="preserve"> </w:t>
      </w:r>
      <w:r w:rsidR="0080493E">
        <w:tab/>
      </w:r>
      <w:r w:rsidR="0080493E">
        <w:tab/>
      </w:r>
      <w:r w:rsidR="0080493E">
        <w:tab/>
      </w:r>
      <w:r w:rsidR="0080493E" w:rsidRPr="0083168C">
        <w:rPr>
          <w:u w:val="single"/>
        </w:rPr>
        <w:tab/>
      </w:r>
      <w:r w:rsidR="0080493E" w:rsidRPr="0083168C">
        <w:rPr>
          <w:u w:val="single"/>
        </w:rPr>
        <w:tab/>
      </w:r>
      <w:r w:rsidR="0080493E" w:rsidRPr="0083168C">
        <w:rPr>
          <w:u w:val="single"/>
        </w:rPr>
        <w:tab/>
      </w:r>
      <w:r w:rsidRPr="0083168C">
        <w:rPr>
          <w:b/>
          <w:u w:val="single"/>
        </w:rPr>
        <w:t xml:space="preserve"> 161 Mio. €</w:t>
      </w:r>
    </w:p>
    <w:p w:rsidR="003B3157" w:rsidRDefault="0083168C" w:rsidP="0083168C">
      <w:pPr>
        <w:pStyle w:val="Listenabsatz"/>
        <w:ind w:left="0" w:firstLine="4253"/>
        <w:rPr>
          <w:b/>
        </w:rPr>
      </w:pPr>
      <w:r w:rsidRPr="00A014C5">
        <w:rPr>
          <w:b/>
        </w:rPr>
        <w:t xml:space="preserve"> Summe:</w:t>
      </w:r>
      <w:r w:rsidR="00A014C5">
        <w:rPr>
          <w:b/>
        </w:rPr>
        <w:tab/>
      </w:r>
      <w:r w:rsidR="00A014C5">
        <w:rPr>
          <w:b/>
        </w:rPr>
        <w:tab/>
        <w:t xml:space="preserve"> 545 </w:t>
      </w:r>
      <w:r w:rsidR="00A014C5" w:rsidRPr="0083168C">
        <w:rPr>
          <w:b/>
        </w:rPr>
        <w:t>Mio. €</w:t>
      </w:r>
    </w:p>
    <w:p w:rsidR="00C92034" w:rsidRPr="0091105E" w:rsidRDefault="00C92034" w:rsidP="00C92034">
      <w:pPr>
        <w:pStyle w:val="Listenabsatz"/>
        <w:ind w:left="0"/>
        <w:rPr>
          <w:b/>
          <w:sz w:val="16"/>
          <w:szCs w:val="16"/>
        </w:rPr>
      </w:pPr>
    </w:p>
    <w:p w:rsidR="00C92034" w:rsidRDefault="00B061B7" w:rsidP="00C92034">
      <w:pPr>
        <w:pStyle w:val="Listenabsatz"/>
        <w:ind w:left="0"/>
      </w:pPr>
      <w:r w:rsidRPr="00295195">
        <w:t>Der</w:t>
      </w:r>
      <w:r>
        <w:rPr>
          <w:b/>
        </w:rPr>
        <w:t xml:space="preserve"> </w:t>
      </w:r>
      <w:r w:rsidR="00F9481F">
        <w:rPr>
          <w:b/>
        </w:rPr>
        <w:t xml:space="preserve">von KPMG + Basler AG überprüfte </w:t>
      </w:r>
      <w:r>
        <w:rPr>
          <w:b/>
        </w:rPr>
        <w:t xml:space="preserve">Finanzierungsrahmen </w:t>
      </w:r>
      <w:r w:rsidRPr="00295195">
        <w:t>des</w:t>
      </w:r>
      <w:r>
        <w:rPr>
          <w:b/>
        </w:rPr>
        <w:t xml:space="preserve"> Vorhabens „Stuttgart21“ </w:t>
      </w:r>
      <w:r w:rsidRPr="00295195">
        <w:t>wird allein dadurch</w:t>
      </w:r>
      <w:r>
        <w:rPr>
          <w:b/>
        </w:rPr>
        <w:t xml:space="preserve"> um 0,55 Mrd. </w:t>
      </w:r>
      <w:r w:rsidR="00295195">
        <w:rPr>
          <w:b/>
        </w:rPr>
        <w:t>€ überschritten</w:t>
      </w:r>
      <w:bookmarkStart w:id="0" w:name="_GoBack"/>
      <w:bookmarkEnd w:id="0"/>
      <w:r w:rsidR="00295195">
        <w:rPr>
          <w:b/>
        </w:rPr>
        <w:t xml:space="preserve">! </w:t>
      </w:r>
      <w:r w:rsidR="00295195" w:rsidRPr="00295195">
        <w:t>Unter Berücksichtigung eines</w:t>
      </w:r>
      <w:r w:rsidR="00295195">
        <w:rPr>
          <w:b/>
        </w:rPr>
        <w:t xml:space="preserve"> </w:t>
      </w:r>
      <w:r w:rsidR="009B48C4">
        <w:rPr>
          <w:b/>
        </w:rPr>
        <w:t>zusätzlichen Risikopuffers</w:t>
      </w:r>
      <w:r w:rsidR="009D324C">
        <w:rPr>
          <w:b/>
        </w:rPr>
        <w:t xml:space="preserve"> von 1,2 Mrd. €</w:t>
      </w:r>
      <w:r w:rsidR="009B48C4">
        <w:rPr>
          <w:b/>
        </w:rPr>
        <w:t xml:space="preserve"> </w:t>
      </w:r>
      <w:r w:rsidR="009B48C4" w:rsidRPr="00961F86">
        <w:t>für</w:t>
      </w:r>
      <w:r w:rsidR="009B48C4">
        <w:rPr>
          <w:b/>
        </w:rPr>
        <w:t xml:space="preserve"> </w:t>
      </w:r>
      <w:r w:rsidR="007B34FB">
        <w:rPr>
          <w:b/>
        </w:rPr>
        <w:t xml:space="preserve">weitere </w:t>
      </w:r>
      <w:proofErr w:type="spellStart"/>
      <w:r w:rsidR="009B48C4">
        <w:rPr>
          <w:b/>
        </w:rPr>
        <w:t>Anhydritschäden</w:t>
      </w:r>
      <w:proofErr w:type="spellEnd"/>
      <w:r w:rsidR="009B48C4">
        <w:rPr>
          <w:b/>
        </w:rPr>
        <w:t xml:space="preserve"> </w:t>
      </w:r>
      <w:r w:rsidR="009B48C4" w:rsidRPr="00961F86">
        <w:t>an den</w:t>
      </w:r>
      <w:r w:rsidR="009B48C4">
        <w:rPr>
          <w:b/>
        </w:rPr>
        <w:t xml:space="preserve"> Tunneln</w:t>
      </w:r>
      <w:r w:rsidR="009D324C">
        <w:rPr>
          <w:b/>
        </w:rPr>
        <w:t>,</w:t>
      </w:r>
      <w:r w:rsidR="00961F86">
        <w:rPr>
          <w:b/>
        </w:rPr>
        <w:t xml:space="preserve"> </w:t>
      </w:r>
      <w:r w:rsidR="00961F86">
        <w:t xml:space="preserve">wie unter Ziff. 1 </w:t>
      </w:r>
      <w:r w:rsidR="009D324C">
        <w:t xml:space="preserve">erläutert, </w:t>
      </w:r>
      <w:r w:rsidR="005400E9">
        <w:t xml:space="preserve">steigt der </w:t>
      </w:r>
      <w:r w:rsidR="005400E9" w:rsidRPr="001C6272">
        <w:rPr>
          <w:b/>
        </w:rPr>
        <w:t xml:space="preserve">Finanzierungsbedarf </w:t>
      </w:r>
      <w:r w:rsidR="001C6272" w:rsidRPr="001C6272">
        <w:t>des</w:t>
      </w:r>
      <w:r w:rsidR="001C6272" w:rsidRPr="001C6272">
        <w:rPr>
          <w:b/>
        </w:rPr>
        <w:t xml:space="preserve"> Vorhabens „Stuttgart21“ </w:t>
      </w:r>
      <w:r w:rsidR="005400E9">
        <w:t xml:space="preserve">auf </w:t>
      </w:r>
      <w:r w:rsidR="00841CE3" w:rsidRPr="001C6272">
        <w:rPr>
          <w:b/>
        </w:rPr>
        <w:t>8</w:t>
      </w:r>
      <w:r w:rsidR="001E5D3D">
        <w:rPr>
          <w:b/>
        </w:rPr>
        <w:t>,3</w:t>
      </w:r>
      <w:r w:rsidR="00841CE3" w:rsidRPr="001C6272">
        <w:rPr>
          <w:b/>
        </w:rPr>
        <w:t xml:space="preserve"> Mrd.</w:t>
      </w:r>
      <w:r w:rsidR="00841CE3">
        <w:t xml:space="preserve"> </w:t>
      </w:r>
      <w:r w:rsidR="001C6272">
        <w:t xml:space="preserve">€ </w:t>
      </w:r>
      <w:r w:rsidR="00841CE3">
        <w:t xml:space="preserve">an – </w:t>
      </w:r>
      <w:r w:rsidR="00841CE3" w:rsidRPr="0091105E">
        <w:rPr>
          <w:b/>
        </w:rPr>
        <w:t>ohne Berücksichtigung weiterer</w:t>
      </w:r>
      <w:r w:rsidR="00841CE3">
        <w:t xml:space="preserve">, hier nicht behandelter </w:t>
      </w:r>
      <w:r w:rsidR="00841CE3" w:rsidRPr="0091105E">
        <w:rPr>
          <w:b/>
        </w:rPr>
        <w:t>Mehrkosten</w:t>
      </w:r>
      <w:r w:rsidR="00841CE3">
        <w:t xml:space="preserve">. </w:t>
      </w:r>
    </w:p>
    <w:p w:rsidR="003513B7" w:rsidRDefault="003513B7" w:rsidP="00C92034">
      <w:pPr>
        <w:pStyle w:val="Listenabsatz"/>
        <w:ind w:left="0"/>
      </w:pPr>
    </w:p>
    <w:p w:rsidR="003513B7" w:rsidRPr="00961F86" w:rsidRDefault="003513B7" w:rsidP="00C92034">
      <w:pPr>
        <w:pStyle w:val="Listenabsatz"/>
        <w:ind w:left="0"/>
      </w:pPr>
      <w:r w:rsidRPr="003513B7">
        <w:t xml:space="preserve">Stuttgart, </w:t>
      </w:r>
      <w:r>
        <w:t>8</w:t>
      </w:r>
      <w:r w:rsidRPr="003513B7">
        <w:t>.Dezember 2016</w:t>
      </w:r>
      <w:r w:rsidRPr="003513B7">
        <w:tab/>
      </w:r>
      <w:r w:rsidRPr="003513B7">
        <w:tab/>
      </w:r>
      <w:r w:rsidRPr="003513B7">
        <w:tab/>
      </w:r>
      <w:r w:rsidRPr="003513B7">
        <w:tab/>
      </w:r>
      <w:r w:rsidRPr="003513B7">
        <w:tab/>
      </w:r>
      <w:r w:rsidRPr="003513B7">
        <w:tab/>
      </w:r>
      <w:proofErr w:type="spellStart"/>
      <w:r w:rsidRPr="003513B7">
        <w:t>Dipl.Ing</w:t>
      </w:r>
      <w:proofErr w:type="spellEnd"/>
      <w:r w:rsidRPr="003513B7">
        <w:t>.  Hans Heydemann</w:t>
      </w:r>
    </w:p>
    <w:sectPr w:rsidR="003513B7" w:rsidRPr="00961F86" w:rsidSect="00F73B46">
      <w:footerReference w:type="default" r:id="rId8"/>
      <w:pgSz w:w="11906" w:h="16838"/>
      <w:pgMar w:top="709" w:right="849" w:bottom="709" w:left="1417" w:header="708"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4F3" w:rsidRDefault="001364F3" w:rsidP="00E13954">
      <w:pPr>
        <w:spacing w:after="0" w:line="240" w:lineRule="auto"/>
      </w:pPr>
      <w:r>
        <w:separator/>
      </w:r>
    </w:p>
  </w:endnote>
  <w:endnote w:type="continuationSeparator" w:id="0">
    <w:p w:rsidR="001364F3" w:rsidRDefault="001364F3" w:rsidP="00E13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700242"/>
      <w:docPartObj>
        <w:docPartGallery w:val="Page Numbers (Bottom of Page)"/>
        <w:docPartUnique/>
      </w:docPartObj>
    </w:sdtPr>
    <w:sdtEndPr/>
    <w:sdtContent>
      <w:p w:rsidR="00E13954" w:rsidRDefault="00E13954">
        <w:pPr>
          <w:pStyle w:val="Fuzeile"/>
          <w:jc w:val="center"/>
        </w:pPr>
        <w:r>
          <w:fldChar w:fldCharType="begin"/>
        </w:r>
        <w:r>
          <w:instrText>PAGE   \* MERGEFORMAT</w:instrText>
        </w:r>
        <w:r>
          <w:fldChar w:fldCharType="separate"/>
        </w:r>
        <w:r w:rsidR="001E5D3D">
          <w:rPr>
            <w:noProof/>
          </w:rPr>
          <w:t>2</w:t>
        </w:r>
        <w:r>
          <w:fldChar w:fldCharType="end"/>
        </w:r>
      </w:p>
    </w:sdtContent>
  </w:sdt>
  <w:p w:rsidR="00E13954" w:rsidRDefault="00E1395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4F3" w:rsidRDefault="001364F3" w:rsidP="00E13954">
      <w:pPr>
        <w:spacing w:after="0" w:line="240" w:lineRule="auto"/>
      </w:pPr>
      <w:r>
        <w:separator/>
      </w:r>
    </w:p>
  </w:footnote>
  <w:footnote w:type="continuationSeparator" w:id="0">
    <w:p w:rsidR="001364F3" w:rsidRDefault="001364F3" w:rsidP="00E139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5CAA"/>
    <w:multiLevelType w:val="hybridMultilevel"/>
    <w:tmpl w:val="3AE02E16"/>
    <w:lvl w:ilvl="0" w:tplc="DAF2073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BE2A24"/>
    <w:multiLevelType w:val="hybridMultilevel"/>
    <w:tmpl w:val="2FDC85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E7C"/>
    <w:rsid w:val="000069CE"/>
    <w:rsid w:val="00014DFF"/>
    <w:rsid w:val="000226DE"/>
    <w:rsid w:val="000255CF"/>
    <w:rsid w:val="00055BE7"/>
    <w:rsid w:val="000613D4"/>
    <w:rsid w:val="000760EB"/>
    <w:rsid w:val="00090986"/>
    <w:rsid w:val="00093D71"/>
    <w:rsid w:val="000B5862"/>
    <w:rsid w:val="000C1C88"/>
    <w:rsid w:val="000C5FF6"/>
    <w:rsid w:val="000C7DBE"/>
    <w:rsid w:val="000F2083"/>
    <w:rsid w:val="000F2DB9"/>
    <w:rsid w:val="000F5E5B"/>
    <w:rsid w:val="00115BEC"/>
    <w:rsid w:val="00120BF2"/>
    <w:rsid w:val="00127188"/>
    <w:rsid w:val="001364F3"/>
    <w:rsid w:val="00167147"/>
    <w:rsid w:val="00180802"/>
    <w:rsid w:val="00181FE2"/>
    <w:rsid w:val="0019757F"/>
    <w:rsid w:val="001B1E99"/>
    <w:rsid w:val="001B3957"/>
    <w:rsid w:val="001C1CE5"/>
    <w:rsid w:val="001C3E4E"/>
    <w:rsid w:val="001C6272"/>
    <w:rsid w:val="001E49EE"/>
    <w:rsid w:val="001E5D3D"/>
    <w:rsid w:val="00201CBF"/>
    <w:rsid w:val="0020273B"/>
    <w:rsid w:val="00205D2A"/>
    <w:rsid w:val="00223CA6"/>
    <w:rsid w:val="0024064A"/>
    <w:rsid w:val="00243F81"/>
    <w:rsid w:val="0024496C"/>
    <w:rsid w:val="00245ED7"/>
    <w:rsid w:val="00255378"/>
    <w:rsid w:val="00271879"/>
    <w:rsid w:val="0027568D"/>
    <w:rsid w:val="00285EE7"/>
    <w:rsid w:val="0029123B"/>
    <w:rsid w:val="00295195"/>
    <w:rsid w:val="002A1D48"/>
    <w:rsid w:val="002A6658"/>
    <w:rsid w:val="002B2C4A"/>
    <w:rsid w:val="002B35B7"/>
    <w:rsid w:val="002B51A9"/>
    <w:rsid w:val="002C55F1"/>
    <w:rsid w:val="002C7E7C"/>
    <w:rsid w:val="002D1D2F"/>
    <w:rsid w:val="002D20CB"/>
    <w:rsid w:val="003008C8"/>
    <w:rsid w:val="00300A1A"/>
    <w:rsid w:val="003052C1"/>
    <w:rsid w:val="00305813"/>
    <w:rsid w:val="00320F17"/>
    <w:rsid w:val="00322A87"/>
    <w:rsid w:val="003321B0"/>
    <w:rsid w:val="00340576"/>
    <w:rsid w:val="003513B7"/>
    <w:rsid w:val="0035153D"/>
    <w:rsid w:val="00354708"/>
    <w:rsid w:val="003831B2"/>
    <w:rsid w:val="003907AB"/>
    <w:rsid w:val="00390E39"/>
    <w:rsid w:val="003A71DD"/>
    <w:rsid w:val="003B3157"/>
    <w:rsid w:val="003B3679"/>
    <w:rsid w:val="003C6C2A"/>
    <w:rsid w:val="003D2815"/>
    <w:rsid w:val="003D73B9"/>
    <w:rsid w:val="003E4585"/>
    <w:rsid w:val="003F0E6E"/>
    <w:rsid w:val="003F438C"/>
    <w:rsid w:val="003F53B8"/>
    <w:rsid w:val="003F5CB6"/>
    <w:rsid w:val="003F6B46"/>
    <w:rsid w:val="004011D1"/>
    <w:rsid w:val="00426697"/>
    <w:rsid w:val="0043351C"/>
    <w:rsid w:val="00445DEF"/>
    <w:rsid w:val="0045523D"/>
    <w:rsid w:val="00456ED9"/>
    <w:rsid w:val="00476023"/>
    <w:rsid w:val="004946E5"/>
    <w:rsid w:val="004947BD"/>
    <w:rsid w:val="004A290E"/>
    <w:rsid w:val="004B2860"/>
    <w:rsid w:val="004B5B1B"/>
    <w:rsid w:val="004D5E5D"/>
    <w:rsid w:val="004E3D81"/>
    <w:rsid w:val="004E589E"/>
    <w:rsid w:val="004F06AC"/>
    <w:rsid w:val="004F781D"/>
    <w:rsid w:val="0052226D"/>
    <w:rsid w:val="005238AB"/>
    <w:rsid w:val="005242E2"/>
    <w:rsid w:val="005361AE"/>
    <w:rsid w:val="005400E9"/>
    <w:rsid w:val="00541E70"/>
    <w:rsid w:val="0054450F"/>
    <w:rsid w:val="00545CB0"/>
    <w:rsid w:val="00556844"/>
    <w:rsid w:val="00563FF2"/>
    <w:rsid w:val="005B342A"/>
    <w:rsid w:val="005C5111"/>
    <w:rsid w:val="005F17A8"/>
    <w:rsid w:val="00607391"/>
    <w:rsid w:val="00621BCE"/>
    <w:rsid w:val="00643656"/>
    <w:rsid w:val="00645027"/>
    <w:rsid w:val="00655EBD"/>
    <w:rsid w:val="00656D42"/>
    <w:rsid w:val="00666185"/>
    <w:rsid w:val="00666293"/>
    <w:rsid w:val="00682644"/>
    <w:rsid w:val="006834FB"/>
    <w:rsid w:val="00683847"/>
    <w:rsid w:val="00684333"/>
    <w:rsid w:val="00694C9F"/>
    <w:rsid w:val="006A2C7E"/>
    <w:rsid w:val="006A5985"/>
    <w:rsid w:val="006B4869"/>
    <w:rsid w:val="006C7B53"/>
    <w:rsid w:val="006D1AF0"/>
    <w:rsid w:val="006E7546"/>
    <w:rsid w:val="00707B88"/>
    <w:rsid w:val="00720F26"/>
    <w:rsid w:val="00721A03"/>
    <w:rsid w:val="00726ECD"/>
    <w:rsid w:val="0075303E"/>
    <w:rsid w:val="00757582"/>
    <w:rsid w:val="007735D4"/>
    <w:rsid w:val="00787EC6"/>
    <w:rsid w:val="007B34FB"/>
    <w:rsid w:val="007D21C9"/>
    <w:rsid w:val="007D7C4B"/>
    <w:rsid w:val="007E29BE"/>
    <w:rsid w:val="007E4C64"/>
    <w:rsid w:val="007F0C62"/>
    <w:rsid w:val="007F1163"/>
    <w:rsid w:val="007F6E63"/>
    <w:rsid w:val="0080493E"/>
    <w:rsid w:val="00812C9E"/>
    <w:rsid w:val="00825A00"/>
    <w:rsid w:val="0083168C"/>
    <w:rsid w:val="00841CE3"/>
    <w:rsid w:val="008433C6"/>
    <w:rsid w:val="00861259"/>
    <w:rsid w:val="008637B3"/>
    <w:rsid w:val="00867F7E"/>
    <w:rsid w:val="008817AC"/>
    <w:rsid w:val="008932FB"/>
    <w:rsid w:val="008C213C"/>
    <w:rsid w:val="008E5EFF"/>
    <w:rsid w:val="0091105E"/>
    <w:rsid w:val="0091711A"/>
    <w:rsid w:val="00921201"/>
    <w:rsid w:val="00943D93"/>
    <w:rsid w:val="00945259"/>
    <w:rsid w:val="009473DD"/>
    <w:rsid w:val="009541F4"/>
    <w:rsid w:val="0095460F"/>
    <w:rsid w:val="00955F34"/>
    <w:rsid w:val="00961F86"/>
    <w:rsid w:val="00966E69"/>
    <w:rsid w:val="009727DB"/>
    <w:rsid w:val="00984254"/>
    <w:rsid w:val="0099322B"/>
    <w:rsid w:val="00995200"/>
    <w:rsid w:val="009A1E88"/>
    <w:rsid w:val="009A3463"/>
    <w:rsid w:val="009B48C4"/>
    <w:rsid w:val="009C5468"/>
    <w:rsid w:val="009D324C"/>
    <w:rsid w:val="009D430B"/>
    <w:rsid w:val="009D78ED"/>
    <w:rsid w:val="00A014C5"/>
    <w:rsid w:val="00A116F7"/>
    <w:rsid w:val="00A1606B"/>
    <w:rsid w:val="00A21B35"/>
    <w:rsid w:val="00A238A0"/>
    <w:rsid w:val="00A34EEF"/>
    <w:rsid w:val="00A37D2A"/>
    <w:rsid w:val="00A41127"/>
    <w:rsid w:val="00A42A59"/>
    <w:rsid w:val="00A452F5"/>
    <w:rsid w:val="00A50038"/>
    <w:rsid w:val="00A669A3"/>
    <w:rsid w:val="00A767D8"/>
    <w:rsid w:val="00A82182"/>
    <w:rsid w:val="00A85F8D"/>
    <w:rsid w:val="00AA486E"/>
    <w:rsid w:val="00AB6FE8"/>
    <w:rsid w:val="00AD1978"/>
    <w:rsid w:val="00AE0B75"/>
    <w:rsid w:val="00B061B7"/>
    <w:rsid w:val="00B227C1"/>
    <w:rsid w:val="00B35794"/>
    <w:rsid w:val="00B63F19"/>
    <w:rsid w:val="00B84430"/>
    <w:rsid w:val="00B973FF"/>
    <w:rsid w:val="00BB280C"/>
    <w:rsid w:val="00BB57B3"/>
    <w:rsid w:val="00BD33D1"/>
    <w:rsid w:val="00BD454F"/>
    <w:rsid w:val="00BD5BCE"/>
    <w:rsid w:val="00BE0FF0"/>
    <w:rsid w:val="00BE4C71"/>
    <w:rsid w:val="00BF4DDA"/>
    <w:rsid w:val="00C05CEA"/>
    <w:rsid w:val="00C11940"/>
    <w:rsid w:val="00C133F1"/>
    <w:rsid w:val="00C3225D"/>
    <w:rsid w:val="00C37572"/>
    <w:rsid w:val="00C44260"/>
    <w:rsid w:val="00C668B2"/>
    <w:rsid w:val="00C7782A"/>
    <w:rsid w:val="00C8051D"/>
    <w:rsid w:val="00C86729"/>
    <w:rsid w:val="00C874D9"/>
    <w:rsid w:val="00C901DC"/>
    <w:rsid w:val="00C92034"/>
    <w:rsid w:val="00C96C16"/>
    <w:rsid w:val="00CA075B"/>
    <w:rsid w:val="00CA3546"/>
    <w:rsid w:val="00CA4858"/>
    <w:rsid w:val="00CA57C3"/>
    <w:rsid w:val="00CC37C1"/>
    <w:rsid w:val="00CF1CDC"/>
    <w:rsid w:val="00D142F9"/>
    <w:rsid w:val="00D302FC"/>
    <w:rsid w:val="00D50BCD"/>
    <w:rsid w:val="00D54DA2"/>
    <w:rsid w:val="00D62F65"/>
    <w:rsid w:val="00D77B27"/>
    <w:rsid w:val="00DA3557"/>
    <w:rsid w:val="00DA4DD9"/>
    <w:rsid w:val="00DC0A44"/>
    <w:rsid w:val="00DC0A80"/>
    <w:rsid w:val="00DC0D45"/>
    <w:rsid w:val="00DF23F5"/>
    <w:rsid w:val="00DF3911"/>
    <w:rsid w:val="00E04CA6"/>
    <w:rsid w:val="00E13954"/>
    <w:rsid w:val="00E158B0"/>
    <w:rsid w:val="00E16098"/>
    <w:rsid w:val="00E279DB"/>
    <w:rsid w:val="00E324B5"/>
    <w:rsid w:val="00E37142"/>
    <w:rsid w:val="00E462A9"/>
    <w:rsid w:val="00E63701"/>
    <w:rsid w:val="00E705A2"/>
    <w:rsid w:val="00E87363"/>
    <w:rsid w:val="00EA1A6F"/>
    <w:rsid w:val="00EB17F5"/>
    <w:rsid w:val="00EC2265"/>
    <w:rsid w:val="00ED3411"/>
    <w:rsid w:val="00ED384B"/>
    <w:rsid w:val="00EE0F91"/>
    <w:rsid w:val="00EE72EA"/>
    <w:rsid w:val="00EF4365"/>
    <w:rsid w:val="00EF4EF5"/>
    <w:rsid w:val="00EF7A72"/>
    <w:rsid w:val="00F06425"/>
    <w:rsid w:val="00F10812"/>
    <w:rsid w:val="00F16969"/>
    <w:rsid w:val="00F36445"/>
    <w:rsid w:val="00F426AE"/>
    <w:rsid w:val="00F427AA"/>
    <w:rsid w:val="00F4436D"/>
    <w:rsid w:val="00F51CDF"/>
    <w:rsid w:val="00F73B46"/>
    <w:rsid w:val="00F8566F"/>
    <w:rsid w:val="00F90164"/>
    <w:rsid w:val="00F906C1"/>
    <w:rsid w:val="00F9481F"/>
    <w:rsid w:val="00FB6E68"/>
    <w:rsid w:val="00FB78BB"/>
    <w:rsid w:val="00FC61B7"/>
    <w:rsid w:val="00FD1CEC"/>
    <w:rsid w:val="00FE20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90164"/>
    <w:pPr>
      <w:ind w:left="720"/>
      <w:contextualSpacing/>
    </w:pPr>
  </w:style>
  <w:style w:type="paragraph" w:styleId="Kopfzeile">
    <w:name w:val="header"/>
    <w:basedOn w:val="Standard"/>
    <w:link w:val="KopfzeileZchn"/>
    <w:uiPriority w:val="99"/>
    <w:unhideWhenUsed/>
    <w:rsid w:val="00E139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954"/>
  </w:style>
  <w:style w:type="paragraph" w:styleId="Fuzeile">
    <w:name w:val="footer"/>
    <w:basedOn w:val="Standard"/>
    <w:link w:val="FuzeileZchn"/>
    <w:uiPriority w:val="99"/>
    <w:unhideWhenUsed/>
    <w:rsid w:val="00E139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39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90164"/>
    <w:pPr>
      <w:ind w:left="720"/>
      <w:contextualSpacing/>
    </w:pPr>
  </w:style>
  <w:style w:type="paragraph" w:styleId="Kopfzeile">
    <w:name w:val="header"/>
    <w:basedOn w:val="Standard"/>
    <w:link w:val="KopfzeileZchn"/>
    <w:uiPriority w:val="99"/>
    <w:unhideWhenUsed/>
    <w:rsid w:val="00E139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954"/>
  </w:style>
  <w:style w:type="paragraph" w:styleId="Fuzeile">
    <w:name w:val="footer"/>
    <w:basedOn w:val="Standard"/>
    <w:link w:val="FuzeileZchn"/>
    <w:uiPriority w:val="99"/>
    <w:unhideWhenUsed/>
    <w:rsid w:val="00E139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6116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2</cp:revision>
  <dcterms:created xsi:type="dcterms:W3CDTF">2016-12-09T17:49:00Z</dcterms:created>
  <dcterms:modified xsi:type="dcterms:W3CDTF">2016-12-09T17:49:00Z</dcterms:modified>
</cp:coreProperties>
</file>